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before="120" w:after="120"/>
        <w:ind w:left="284" w:right="23" w:hanging="0"/>
        <w:jc w:val="center"/>
        <w:rPr>
          <w:rFonts w:ascii="Times New Roman" w:hAnsi="Times New Roman"/>
          <w:b/>
          <w:b/>
          <w:sz w:val="18"/>
          <w:szCs w:val="18"/>
        </w:rPr>
      </w:pPr>
      <w:r>
        <w:rPr>
          <w:rFonts w:ascii="Times New Roman" w:hAnsi="Times New Roman"/>
          <w:b/>
          <w:sz w:val="18"/>
          <w:szCs w:val="18"/>
        </w:rPr>
        <w:t>ВОПРОСНИК ПО САМОСЕРТИФИКАЦИИ</w:t>
      </w:r>
      <w:r>
        <w:rPr>
          <w:rStyle w:val="FootnoteAnchor"/>
          <w:rFonts w:eastAsia="Times New Roman" w:ascii="Times New Roman" w:hAnsi="Times New Roman"/>
          <w:b/>
          <w:sz w:val="18"/>
          <w:szCs w:val="18"/>
          <w:lang w:eastAsia="ru-RU"/>
        </w:rPr>
        <w:footnoteReference w:id="2"/>
      </w:r>
      <w:bookmarkStart w:id="0" w:name="_GoBack"/>
      <w:bookmarkEnd w:id="0"/>
    </w:p>
    <w:p>
      <w:pPr>
        <w:pStyle w:val="Normal"/>
        <w:keepNext w:val="true"/>
        <w:spacing w:before="120" w:after="120"/>
        <w:ind w:left="284" w:right="23" w:hanging="0"/>
        <w:jc w:val="center"/>
        <w:rPr>
          <w:rFonts w:ascii="Times New Roman" w:hAnsi="Times New Roman" w:eastAsia="Times New Roman"/>
          <w:b/>
          <w:b/>
          <w:sz w:val="18"/>
          <w:szCs w:val="18"/>
          <w:lang w:eastAsia="ru-RU"/>
        </w:rPr>
      </w:pPr>
      <w:r>
        <w:rPr>
          <w:rFonts w:ascii="Times New Roman" w:hAnsi="Times New Roman"/>
          <w:b/>
          <w:sz w:val="18"/>
          <w:szCs w:val="18"/>
        </w:rPr>
        <w:t xml:space="preserve">для идентификации клиента -  юридического лица в целях выявления лиц, на которых распространяется законодательство иностранного государства о налогообложении иностранных счетов, в том числе Закон </w:t>
      </w:r>
      <w:r>
        <w:rPr>
          <w:rFonts w:ascii="Times New Roman" w:hAnsi="Times New Roman"/>
          <w:b/>
          <w:sz w:val="18"/>
          <w:szCs w:val="18"/>
          <w:lang w:val="en-US"/>
        </w:rPr>
        <w:t>FATCA</w:t>
      </w:r>
      <w:r>
        <w:rPr>
          <w:rStyle w:val="FootnoteAnchor"/>
          <w:rFonts w:ascii="Times New Roman" w:hAnsi="Times New Roman"/>
          <w:b/>
          <w:sz w:val="18"/>
          <w:szCs w:val="18"/>
          <w:lang w:val="en-US"/>
        </w:rPr>
        <w:footnoteReference w:id="3"/>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22"/>
        <w:gridCol w:w="1689"/>
        <w:gridCol w:w="8010"/>
      </w:tblGrid>
      <w:tr>
        <w:trPr>
          <w:trHeight w:val="493"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bCs/>
                <w:sz w:val="18"/>
                <w:szCs w:val="18"/>
                <w:lang w:eastAsia="ru-RU"/>
              </w:rPr>
            </w:pPr>
            <w:r>
              <w:rPr>
                <w:rFonts w:eastAsia="Times New Roman" w:ascii="Times New Roman" w:hAnsi="Times New Roman"/>
                <w:bCs/>
                <w:sz w:val="18"/>
                <w:szCs w:val="18"/>
                <w:lang w:eastAsia="ru-RU"/>
              </w:rPr>
              <w:t>Полное наименование</w:t>
            </w:r>
            <w:r>
              <w:rPr>
                <w:rFonts w:eastAsia="Times New Roman" w:ascii="Times New Roman" w:hAnsi="Times New Roman"/>
                <w:bCs/>
                <w:sz w:val="18"/>
                <w:szCs w:val="18"/>
                <w:lang w:val="en-US" w:eastAsia="ru-RU"/>
              </w:rPr>
              <w:t xml:space="preserve"> </w:t>
            </w:r>
            <w:r>
              <w:rPr>
                <w:rFonts w:eastAsia="Times New Roman" w:ascii="Times New Roman" w:hAnsi="Times New Roman"/>
                <w:bCs/>
                <w:sz w:val="18"/>
                <w:szCs w:val="18"/>
                <w:lang w:eastAsia="ru-RU"/>
              </w:rPr>
              <w:t>юридического лица</w:t>
            </w:r>
          </w:p>
        </w:tc>
        <w:tc>
          <w:tcPr>
            <w:tcW w:w="80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rHeight w:val="546"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bCs/>
                <w:sz w:val="18"/>
                <w:szCs w:val="18"/>
                <w:lang w:eastAsia="ru-RU"/>
              </w:rPr>
              <w:t>ИНН/ КИО</w:t>
            </w:r>
          </w:p>
        </w:tc>
        <w:tc>
          <w:tcPr>
            <w:tcW w:w="80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Является ли юридическое лицо Финансовым институтом для целей закона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w:t>
            </w:r>
          </w:p>
        </w:tc>
        <w:tc>
          <w:tcPr>
            <w:tcW w:w="801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НЕТ, не является</w:t>
            </w:r>
          </w:p>
          <w:p>
            <w:pPr>
              <w:pStyle w:val="ListParagraph"/>
              <w:keepNext w:val="true"/>
              <w:numPr>
                <w:ilvl w:val="0"/>
                <w:numId w:val="3"/>
              </w:numPr>
              <w:spacing w:before="120" w:after="120"/>
              <w:ind w:left="317" w:hanging="283"/>
              <w:jc w:val="left"/>
              <w:rPr>
                <w:rFonts w:ascii="Times New Roman" w:hAnsi="Times New Roman" w:eastAsia="Times New Roman"/>
                <w:b/>
                <w:b/>
                <w:i/>
                <w:i/>
                <w:sz w:val="18"/>
                <w:szCs w:val="18"/>
                <w:lang w:eastAsia="ru-RU"/>
              </w:rPr>
            </w:pPr>
            <w:r>
              <w:rPr>
                <w:rFonts w:eastAsia="Times New Roman" w:ascii="Times New Roman" w:hAnsi="Times New Roman"/>
                <w:b/>
                <w:sz w:val="18"/>
                <w:szCs w:val="18"/>
                <w:lang w:eastAsia="ru-RU"/>
              </w:rPr>
              <w:t>ДА, является</w:t>
            </w:r>
          </w:p>
          <w:p>
            <w:pPr>
              <w:pStyle w:val="Normal"/>
              <w:keepNext w:val="true"/>
              <w:spacing w:before="120" w:after="120"/>
              <w:ind w:left="34" w:hanging="0"/>
              <w:rPr>
                <w:rFonts w:ascii="Times New Roman" w:hAnsi="Times New Roman" w:eastAsia="Times New Roman"/>
                <w:b/>
                <w:b/>
                <w:i/>
                <w:i/>
                <w:sz w:val="18"/>
                <w:szCs w:val="18"/>
                <w:lang w:eastAsia="ru-RU"/>
              </w:rPr>
            </w:pPr>
            <w:r>
              <w:rPr>
                <w:rFonts w:ascii="Times New Roman" w:hAnsi="Times New Roman"/>
                <w:sz w:val="18"/>
                <w:szCs w:val="18"/>
              </w:rPr>
              <w:t>Если указано «ДА», заполнение настоящего Вопросника не требуется, необходимо перейти к заполнению другой формы: «Вопросник по самосертификации для идентификации клиента -  юридического лица, являющегося финансовым институтом, в целях выявления лиц,  на которых распространяется законодательство иностранного государства о налогообложении иностранных счетов, в том числе Закон FATCA».</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В соответствии с законодательством какого государства учреждено юридическое лицо?</w:t>
            </w:r>
          </w:p>
        </w:tc>
        <w:tc>
          <w:tcPr>
            <w:tcW w:w="801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РФ</w:t>
            </w:r>
          </w:p>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 xml:space="preserve">США    </w:t>
            </w:r>
            <w:r>
              <w:rPr>
                <w:rFonts w:eastAsia="Times New Roman" w:ascii="Times New Roman" w:hAnsi="Times New Roman"/>
                <w:sz w:val="18"/>
                <w:szCs w:val="18"/>
                <w:lang w:eastAsia="ru-RU"/>
              </w:rPr>
              <w:t xml:space="preserve">   □ </w:t>
            </w:r>
            <w:r>
              <w:rPr>
                <w:rFonts w:eastAsia="Times New Roman" w:ascii="Times New Roman" w:hAnsi="Times New Roman"/>
                <w:i/>
                <w:sz w:val="18"/>
                <w:szCs w:val="18"/>
                <w:lang w:eastAsia="ru-RU"/>
              </w:rPr>
              <w:t>форма W-9 представлена</w:t>
            </w:r>
          </w:p>
          <w:p>
            <w:pPr>
              <w:pStyle w:val="ListParagraph"/>
              <w:keepNext w:val="true"/>
              <w:spacing w:before="120" w:after="120"/>
              <w:ind w:left="318" w:hanging="0"/>
              <w:jc w:val="left"/>
              <w:rPr>
                <w:rFonts w:ascii="Times New Roman" w:hAnsi="Times New Roman" w:eastAsia="Times New Roman"/>
                <w:b/>
                <w:b/>
                <w:sz w:val="18"/>
                <w:szCs w:val="18"/>
                <w:lang w:eastAsia="ru-RU"/>
              </w:rPr>
            </w:pPr>
            <w:r>
              <w:rPr>
                <w:rFonts w:eastAsia="Times New Roman" w:ascii="Times New Roman" w:hAnsi="Times New Roman"/>
                <w:sz w:val="18"/>
                <w:szCs w:val="18"/>
                <w:lang w:eastAsia="ru-RU"/>
              </w:rPr>
              <w:t>Идентификационный номер работодателя США (</w:t>
            </w:r>
            <w:r>
              <w:rPr>
                <w:rFonts w:eastAsia="Times New Roman" w:ascii="Times New Roman" w:hAnsi="Times New Roman"/>
                <w:sz w:val="18"/>
                <w:szCs w:val="18"/>
                <w:lang w:val="en-US" w:eastAsia="ru-RU"/>
              </w:rPr>
              <w:t>EIN</w:t>
            </w:r>
            <w:r>
              <w:rPr>
                <w:rFonts w:eastAsia="Times New Roman" w:ascii="Times New Roman" w:hAnsi="Times New Roman"/>
                <w:sz w:val="18"/>
                <w:szCs w:val="18"/>
                <w:lang w:eastAsia="ru-RU"/>
              </w:rPr>
              <w:t xml:space="preserve">) ……….…………………………...…… </w:t>
            </w:r>
          </w:p>
          <w:p>
            <w:pPr>
              <w:pStyle w:val="ListParagraph"/>
              <w:keepNext w:val="true"/>
              <w:numPr>
                <w:ilvl w:val="0"/>
                <w:numId w:val="3"/>
              </w:numPr>
              <w:spacing w:before="120" w:after="120"/>
              <w:ind w:left="743" w:hanging="283"/>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Определенный налогоплательщик США (</w:t>
            </w:r>
            <w:r>
              <w:rPr>
                <w:rFonts w:eastAsia="Times New Roman" w:ascii="Times New Roman" w:hAnsi="Times New Roman"/>
                <w:sz w:val="18"/>
                <w:szCs w:val="18"/>
                <w:lang w:val="en-US" w:eastAsia="ru-RU"/>
              </w:rPr>
              <w:t>Specified</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US</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person</w:t>
            </w:r>
            <w:r>
              <w:rPr>
                <w:rFonts w:eastAsia="Times New Roman" w:ascii="Times New Roman" w:hAnsi="Times New Roman"/>
                <w:sz w:val="18"/>
                <w:szCs w:val="18"/>
                <w:lang w:eastAsia="ru-RU"/>
              </w:rPr>
              <w:t>)</w:t>
            </w:r>
          </w:p>
          <w:p>
            <w:pPr>
              <w:pStyle w:val="ListParagraph"/>
              <w:keepNext w:val="true"/>
              <w:numPr>
                <w:ilvl w:val="0"/>
                <w:numId w:val="3"/>
              </w:numPr>
              <w:spacing w:before="120" w:after="120"/>
              <w:ind w:left="743" w:hanging="283"/>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Налогоплательщик США, исключенный для целей FATCA (not a Specified US person)</w:t>
            </w:r>
          </w:p>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Иного. Указать страну</w:t>
            </w:r>
            <w:r>
              <w:rPr>
                <w:rFonts w:eastAsia="Times New Roman" w:ascii="Times New Roman" w:hAnsi="Times New Roman"/>
                <w:sz w:val="18"/>
                <w:szCs w:val="18"/>
                <w:lang w:eastAsia="ru-RU"/>
              </w:rPr>
              <w:t>……….…………………………...……</w:t>
            </w:r>
          </w:p>
          <w:p>
            <w:pPr>
              <w:pStyle w:val="Normal"/>
              <w:keepNext w:val="true"/>
              <w:spacing w:before="120" w:after="120"/>
              <w:rPr>
                <w:rFonts w:ascii="Times New Roman" w:hAnsi="Times New Roman" w:eastAsia="Times New Roman"/>
                <w:b/>
                <w:b/>
                <w:sz w:val="18"/>
                <w:szCs w:val="18"/>
                <w:lang w:eastAsia="ru-RU"/>
              </w:rPr>
            </w:pPr>
            <w:r>
              <w:rPr>
                <w:rFonts w:ascii="Times New Roman" w:hAnsi="Times New Roman"/>
                <w:b/>
                <w:sz w:val="18"/>
                <w:szCs w:val="18"/>
              </w:rPr>
              <w:t xml:space="preserve">Если в п. 4 указан </w:t>
            </w:r>
            <w:r>
              <w:rPr>
                <w:rFonts w:ascii="Times New Roman" w:hAnsi="Times New Roman"/>
                <w:b/>
                <w:sz w:val="18"/>
                <w:szCs w:val="18"/>
                <w:lang w:val="en-US"/>
              </w:rPr>
              <w:t>EIN</w:t>
            </w:r>
            <w:r>
              <w:rPr>
                <w:rFonts w:ascii="Times New Roman" w:hAnsi="Times New Roman"/>
                <w:b/>
                <w:sz w:val="18"/>
                <w:szCs w:val="18"/>
              </w:rPr>
              <w:t xml:space="preserve"> и предоставлена форма W-9, перейдите к подписанию данного Вопросника (предоставление ответов на последующие вопросы не требуется).</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Выступает ли юридическое лицо (при открытии счета (вклада) в Банке, заключении соглашения с Банком) в своих интересах?</w:t>
            </w:r>
          </w:p>
        </w:tc>
        <w:tc>
          <w:tcPr>
            <w:tcW w:w="801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numPr>
                <w:ilvl w:val="0"/>
                <w:numId w:val="3"/>
              </w:numPr>
              <w:spacing w:before="120" w:after="120"/>
              <w:ind w:left="317" w:hanging="283"/>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НЕТ, юридическое лицо является посредником или disregarded entity (</w:t>
            </w:r>
            <w:r>
              <w:rPr>
                <w:rFonts w:eastAsia="Times New Roman" w:ascii="Times New Roman" w:hAnsi="Times New Roman"/>
                <w:sz w:val="18"/>
                <w:szCs w:val="18"/>
                <w:lang w:eastAsia="ru-RU"/>
              </w:rPr>
              <w:t>юридическое лицо выступает в качестве посредника, а именно открывает счет в пользу другого лица (в качестве посредника, агента, депозитария, номинального владельца, подписанта, инвестиционного консультанта и т.д.) или юридическое лицо подпадает под определение disregarded entity (юридическое лицо, неотделимое от собственника, для целей законодательства США)</w:t>
            </w:r>
            <w:r>
              <w:rPr>
                <w:rFonts w:eastAsia="Times New Roman" w:ascii="Times New Roman" w:hAnsi="Times New Roman"/>
                <w:b/>
                <w:sz w:val="18"/>
                <w:szCs w:val="18"/>
                <w:lang w:eastAsia="ru-RU"/>
              </w:rPr>
              <w:t>)</w:t>
            </w:r>
          </w:p>
          <w:p>
            <w:pPr>
              <w:pStyle w:val="Normal"/>
              <w:keepNext w:val="true"/>
              <w:keepLines/>
              <w:spacing w:before="120" w:after="120"/>
              <w:ind w:left="317"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Если ответ «НЕТ», то заполните Вопросник на каждого выгодоприобретателя (собственника disregarded entity) - физическое лицо, индивидуального предпринимателя, юридическое лицо.</w:t>
            </w:r>
          </w:p>
          <w:p>
            <w:pPr>
              <w:pStyle w:val="ListParagraph"/>
              <w:keepNext w:val="true"/>
              <w:keepLines/>
              <w:numPr>
                <w:ilvl w:val="0"/>
                <w:numId w:val="5"/>
              </w:numPr>
              <w:spacing w:before="120" w:after="120"/>
              <w:ind w:left="762" w:hanging="283"/>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Подтверждаю получение согласия от каждого выгодоприобретателя (собственника disregarded entity), являющегося налогоплательщиком США, в отношении раскрытия вышеуказанной информации Банку и права Банка осуществить трансграничную передачу полученной информации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
          <w:p>
            <w:pPr>
              <w:pStyle w:val="Normal"/>
              <w:keepNext w:val="true"/>
              <w:spacing w:before="120" w:after="120"/>
              <w:ind w:left="34" w:hanging="0"/>
              <w:rPr>
                <w:rFonts w:ascii="Times New Roman" w:hAnsi="Times New Roman" w:eastAsia="Times New Roman"/>
                <w:i/>
                <w:i/>
                <w:sz w:val="18"/>
                <w:szCs w:val="18"/>
                <w:lang w:eastAsia="ru-RU"/>
              </w:rPr>
            </w:pPr>
            <w:r>
              <w:rPr>
                <w:rFonts w:ascii="Times New Roman" w:hAnsi="Times New Roman"/>
                <w:b/>
                <w:sz w:val="18"/>
                <w:szCs w:val="18"/>
              </w:rPr>
              <w:t>Если в п. 5 отмечено «НЕТ» и предоставлены Вопросники на всех выгодоприобретателей, перейдите к подписанию данного Вопросника (предоставление ответов на последующие вопросы не требуется).</w:t>
            </w:r>
          </w:p>
        </w:tc>
      </w:tr>
    </w:tbl>
    <w:p>
      <w:pPr>
        <w:pStyle w:val="Normal"/>
        <w:rPr/>
      </w:pPr>
      <w:r>
        <w:rPr/>
      </w:r>
      <w:r>
        <w:br w:type="page"/>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21"/>
        <w:gridCol w:w="1605"/>
        <w:gridCol w:w="8095"/>
      </w:tblGrid>
      <w:tr>
        <w:trPr>
          <w:trHeight w:val="701" w:hRule="atLeast"/>
        </w:trPr>
        <w:tc>
          <w:tcPr>
            <w:tcW w:w="22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pageBreakBefore/>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Укажите, есть ли у юридического лица Глобальный идентификационный номер посредника Налоговой службы США (GIIN)? Если юридическому лицу присвоен Глобальный идентификационный номер  (GIIN), то укажите статус </w:t>
            </w:r>
            <w:r>
              <w:rPr>
                <w:rFonts w:eastAsia="Times New Roman" w:ascii="Times New Roman" w:hAnsi="Times New Roman"/>
                <w:sz w:val="18"/>
                <w:szCs w:val="18"/>
                <w:lang w:val="en-US" w:eastAsia="ru-RU"/>
              </w:rPr>
              <w:t>FATCA</w:t>
            </w:r>
            <w:r>
              <w:rPr>
                <w:rStyle w:val="FootnoteAnchor"/>
                <w:rFonts w:eastAsia="Times New Roman" w:ascii="Times New Roman" w:hAnsi="Times New Roman"/>
                <w:sz w:val="18"/>
                <w:szCs w:val="18"/>
                <w:lang w:val="en-US" w:eastAsia="ru-RU"/>
              </w:rPr>
              <w:footnoteReference w:id="4"/>
            </w:r>
            <w:r>
              <w:rPr>
                <w:rFonts w:eastAsia="Times New Roman" w:ascii="Times New Roman" w:hAnsi="Times New Roman"/>
                <w:sz w:val="18"/>
                <w:szCs w:val="18"/>
                <w:lang w:eastAsia="ru-RU"/>
              </w:rPr>
              <w:t>.</w:t>
            </w:r>
          </w:p>
        </w:tc>
        <w:tc>
          <w:tcPr>
            <w:tcW w:w="809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 xml:space="preserve">НЕТ </w:t>
            </w:r>
            <w:r>
              <w:rPr>
                <w:rFonts w:eastAsia="Times New Roman" w:ascii="Times New Roman" w:hAnsi="Times New Roman"/>
                <w:b/>
                <w:sz w:val="18"/>
                <w:szCs w:val="18"/>
                <w:lang w:val="en-US" w:eastAsia="ru-RU"/>
              </w:rPr>
              <w:t>GIIN</w:t>
            </w:r>
            <w:r>
              <w:rPr>
                <w:rFonts w:eastAsia="Times New Roman" w:ascii="Times New Roman" w:hAnsi="Times New Roman"/>
                <w:b/>
                <w:sz w:val="18"/>
                <w:szCs w:val="18"/>
                <w:lang w:eastAsia="ru-RU"/>
              </w:rPr>
              <w:t>, юридическое лицо не зарегистрировано на портале Налоговой службы США</w:t>
            </w:r>
            <w:r>
              <w:rPr>
                <w:rFonts w:eastAsia="Times New Roman" w:ascii="Times New Roman" w:hAnsi="Times New Roman"/>
                <w:i/>
                <w:sz w:val="18"/>
                <w:szCs w:val="18"/>
                <w:lang w:eastAsia="ru-RU"/>
              </w:rPr>
              <w:t>.</w:t>
            </w:r>
          </w:p>
          <w:p>
            <w:pPr>
              <w:pStyle w:val="ListParagraph"/>
              <w:keepNext w:val="true"/>
              <w:numPr>
                <w:ilvl w:val="0"/>
                <w:numId w:val="3"/>
              </w:numPr>
              <w:spacing w:before="120" w:after="120"/>
              <w:ind w:left="318" w:hanging="284"/>
              <w:jc w:val="left"/>
              <w:rPr>
                <w:rFonts w:ascii="Times New Roman" w:hAnsi="Times New Roman" w:eastAsia="Times New Roman"/>
                <w:sz w:val="18"/>
                <w:szCs w:val="18"/>
                <w:lang w:eastAsia="ru-RU"/>
              </w:rPr>
            </w:pPr>
            <w:r>
              <w:rPr>
                <w:rFonts w:eastAsia="Times New Roman" w:ascii="Times New Roman" w:hAnsi="Times New Roman"/>
                <w:b/>
                <w:sz w:val="18"/>
                <w:szCs w:val="18"/>
                <w:lang w:eastAsia="ru-RU"/>
              </w:rPr>
              <w:t xml:space="preserve">НЕТ </w:t>
            </w:r>
            <w:r>
              <w:rPr>
                <w:rFonts w:eastAsia="Times New Roman" w:ascii="Times New Roman" w:hAnsi="Times New Roman"/>
                <w:b/>
                <w:sz w:val="18"/>
                <w:szCs w:val="18"/>
                <w:lang w:val="en-US" w:eastAsia="ru-RU"/>
              </w:rPr>
              <w:t>GIIN</w:t>
            </w:r>
            <w:r>
              <w:rPr>
                <w:rFonts w:eastAsia="Times New Roman" w:ascii="Times New Roman" w:hAnsi="Times New Roman"/>
                <w:sz w:val="18"/>
                <w:szCs w:val="18"/>
                <w:lang w:eastAsia="ru-RU"/>
              </w:rPr>
              <w:t xml:space="preserve">, </w:t>
            </w:r>
            <w:r>
              <w:rPr>
                <w:rFonts w:eastAsia="Times New Roman" w:ascii="Times New Roman" w:hAnsi="Times New Roman"/>
                <w:b/>
                <w:sz w:val="18"/>
                <w:szCs w:val="18"/>
                <w:lang w:eastAsia="ru-RU"/>
              </w:rPr>
              <w:t xml:space="preserve">но юридическое лицо находится в процессе регистрации на портале Налоговой службы США и получения </w:t>
            </w:r>
            <w:r>
              <w:rPr>
                <w:rFonts w:eastAsia="Times New Roman" w:ascii="Times New Roman" w:hAnsi="Times New Roman"/>
                <w:b/>
                <w:sz w:val="18"/>
                <w:szCs w:val="18"/>
                <w:lang w:val="en-US" w:eastAsia="ru-RU"/>
              </w:rPr>
              <w:t>GIIN</w:t>
            </w:r>
            <w:r>
              <w:rPr>
                <w:rFonts w:eastAsia="Times New Roman" w:ascii="Times New Roman" w:hAnsi="Times New Roman"/>
                <w:b/>
                <w:sz w:val="18"/>
                <w:szCs w:val="18"/>
                <w:lang w:eastAsia="ru-RU"/>
              </w:rPr>
              <w:t xml:space="preserve"> и обязуется предоставить полученный GIIN в течение 90 дней с даты заполнения Вопросника.</w:t>
            </w:r>
            <w:r>
              <w:rPr>
                <w:rFonts w:eastAsia="Times New Roman" w:ascii="Times New Roman" w:hAnsi="Times New Roman"/>
                <w:sz w:val="18"/>
                <w:szCs w:val="18"/>
                <w:lang w:eastAsia="ru-RU"/>
              </w:rPr>
              <w:t xml:space="preserve"> </w:t>
            </w:r>
          </w:p>
          <w:p>
            <w:pPr>
              <w:pStyle w:val="ListParagraph"/>
              <w:keepNext w:val="true"/>
              <w:spacing w:before="120" w:after="120"/>
              <w:ind w:left="317" w:hanging="0"/>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Укажите статус регистрации на портале Налоговой службы США для целей FATCA (выбрать один вариант из списка):</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Нефинансовая иностранная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организация, напрямую предоставляющая отчетность в IRS США (Direct Reporting NFFE)</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Спонсируемая нефинансовая иностранная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организация, напрямую предоставляющая отчетность в IRS США (Sponsored Direct Reporting NFFE)</w:t>
            </w:r>
          </w:p>
          <w:p>
            <w:pPr>
              <w:pStyle w:val="Normal"/>
              <w:keepNext w:val="true"/>
              <w:keepLines/>
              <w:spacing w:before="120" w:after="120"/>
              <w:rPr>
                <w:rFonts w:ascii="Times New Roman" w:hAnsi="Times New Roman" w:eastAsia="Times New Roman"/>
                <w:sz w:val="18"/>
                <w:szCs w:val="18"/>
                <w:lang w:eastAsia="ru-RU"/>
              </w:rPr>
            </w:pPr>
            <w:r>
              <w:rPr>
                <w:rFonts w:ascii="Times New Roman" w:hAnsi="Times New Roman"/>
                <w:b/>
                <w:sz w:val="18"/>
                <w:szCs w:val="18"/>
              </w:rPr>
              <w:t xml:space="preserve">Если в п. 6 отмечено «НЕТ </w:t>
            </w:r>
            <w:r>
              <w:rPr>
                <w:rFonts w:eastAsia="Times New Roman" w:ascii="Times New Roman" w:hAnsi="Times New Roman"/>
                <w:b/>
                <w:sz w:val="18"/>
                <w:szCs w:val="18"/>
                <w:lang w:val="en-US" w:eastAsia="ru-RU"/>
              </w:rPr>
              <w:t>GIIN</w:t>
            </w:r>
            <w:r>
              <w:rPr>
                <w:rFonts w:ascii="Times New Roman" w:hAnsi="Times New Roman"/>
                <w:b/>
                <w:sz w:val="18"/>
                <w:szCs w:val="18"/>
              </w:rPr>
              <w:t xml:space="preserve">, но юридическое лицо находится в процессе регистрации </w:t>
            </w:r>
            <w:r>
              <w:rPr>
                <w:rFonts w:eastAsia="Times New Roman" w:ascii="Times New Roman" w:hAnsi="Times New Roman"/>
                <w:b/>
                <w:sz w:val="18"/>
                <w:szCs w:val="18"/>
                <w:lang w:eastAsia="ru-RU"/>
              </w:rPr>
              <w:t xml:space="preserve">на портале Налоговой службы США и получения </w:t>
            </w:r>
            <w:r>
              <w:rPr>
                <w:rFonts w:eastAsia="Times New Roman" w:ascii="Times New Roman" w:hAnsi="Times New Roman"/>
                <w:b/>
                <w:sz w:val="18"/>
                <w:szCs w:val="18"/>
                <w:lang w:val="en-US" w:eastAsia="ru-RU"/>
              </w:rPr>
              <w:t>GIIN</w:t>
            </w:r>
            <w:r>
              <w:rPr>
                <w:rFonts w:eastAsia="Times New Roman" w:ascii="Times New Roman" w:hAnsi="Times New Roman"/>
                <w:b/>
                <w:sz w:val="18"/>
                <w:szCs w:val="18"/>
                <w:lang w:eastAsia="ru-RU"/>
              </w:rPr>
              <w:t xml:space="preserve"> и обязуется предоставить полученный GIIN в течение 90 дней с даты заполнения Вопросника</w:t>
            </w:r>
            <w:r>
              <w:rPr>
                <w:rFonts w:ascii="Times New Roman" w:hAnsi="Times New Roman"/>
                <w:b/>
                <w:sz w:val="18"/>
                <w:szCs w:val="18"/>
              </w:rPr>
              <w:t>», перейдите к подписанию данного Вопросника (предоставление ответов на последующие вопросы не требуется).</w:t>
            </w:r>
          </w:p>
          <w:p>
            <w:pPr>
              <w:pStyle w:val="ListParagraph"/>
              <w:keepNext w:val="true"/>
              <w:numPr>
                <w:ilvl w:val="0"/>
                <w:numId w:val="3"/>
              </w:numPr>
              <w:spacing w:before="120" w:after="120"/>
              <w:ind w:left="318" w:hanging="284"/>
              <w:jc w:val="left"/>
              <w:rPr>
                <w:rFonts w:ascii="Times New Roman" w:hAnsi="Times New Roman" w:eastAsia="Times New Roman"/>
                <w:sz w:val="18"/>
                <w:szCs w:val="18"/>
                <w:lang w:eastAsia="ru-RU"/>
              </w:rPr>
            </w:pPr>
            <w:r>
              <w:rPr>
                <w:rFonts w:eastAsia="Times New Roman" w:ascii="Times New Roman" w:hAnsi="Times New Roman"/>
                <w:b/>
                <w:sz w:val="18"/>
                <w:szCs w:val="18"/>
                <w:lang w:eastAsia="ru-RU"/>
              </w:rPr>
              <w:t xml:space="preserve">ДА, есть </w:t>
            </w:r>
            <w:r>
              <w:rPr>
                <w:rFonts w:eastAsia="Times New Roman" w:ascii="Times New Roman" w:hAnsi="Times New Roman"/>
                <w:b/>
                <w:sz w:val="18"/>
                <w:szCs w:val="18"/>
                <w:lang w:val="en-US" w:eastAsia="ru-RU"/>
              </w:rPr>
              <w:t>GIIN</w:t>
            </w:r>
            <w:r>
              <w:rPr>
                <w:rFonts w:eastAsia="Times New Roman" w:ascii="Times New Roman" w:hAnsi="Times New Roman"/>
                <w:b/>
                <w:sz w:val="18"/>
                <w:szCs w:val="18"/>
                <w:lang w:eastAsia="ru-RU"/>
              </w:rPr>
              <w:t xml:space="preserve"> ………………………………………</w:t>
            </w:r>
          </w:p>
          <w:p>
            <w:pPr>
              <w:pStyle w:val="ListParagraph"/>
              <w:keepNext w:val="true"/>
              <w:spacing w:before="120" w:after="120"/>
              <w:ind w:left="317" w:hanging="0"/>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Наименование  юридического лица на английском языке, зарегистрированное на портале Налоговой службы США………………………………………………………………………………………..…………………………………………………</w:t>
            </w:r>
          </w:p>
          <w:p>
            <w:pPr>
              <w:pStyle w:val="ListParagraph"/>
              <w:keepNext w:val="true"/>
              <w:spacing w:before="120" w:after="120"/>
              <w:ind w:left="317" w:hanging="0"/>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Статус регистрации на портале Налоговой службы США для целей FATCA (выбрать один вариант из списка):</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Нефинансовая иностранная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организация, напрямую предоставляющая отчетность в IRS США (Direct Reporting NFFE)</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Спонсируемая нефинансовая иностранная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организация, напрямую предоставляющая отчетность в IRS США (Sponsored Direct Reporting NFFE)</w:t>
            </w:r>
          </w:p>
          <w:p>
            <w:pPr>
              <w:pStyle w:val="Normal"/>
              <w:keepNext w:val="true"/>
              <w:keepLines/>
              <w:spacing w:before="120" w:after="120"/>
              <w:rPr>
                <w:rFonts w:ascii="Times New Roman" w:hAnsi="Times New Roman" w:eastAsia="Times New Roman"/>
                <w:sz w:val="18"/>
                <w:szCs w:val="18"/>
                <w:lang w:eastAsia="ru-RU"/>
              </w:rPr>
            </w:pPr>
            <w:r>
              <w:rPr>
                <w:rFonts w:ascii="Times New Roman" w:hAnsi="Times New Roman"/>
                <w:b/>
                <w:sz w:val="18"/>
                <w:szCs w:val="18"/>
              </w:rPr>
              <w:t>Если в п. 6 отмечено «ДА», перейдите к подписанию данного Вопросника (предоставление ответов на последующие вопросы не требуется).</w:t>
            </w:r>
          </w:p>
        </w:tc>
      </w:tr>
    </w:tbl>
    <w:p>
      <w:pPr>
        <w:pStyle w:val="Normal"/>
        <w:rPr/>
      </w:pPr>
      <w:r>
        <w:rPr/>
      </w:r>
      <w:r>
        <w:br w:type="page"/>
      </w:r>
    </w:p>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222"/>
        <w:gridCol w:w="1947"/>
        <w:gridCol w:w="7752"/>
      </w:tblGrid>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pageBreakBefore/>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9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Есть ли у юридического лица признаки, которые могут указывать на   налогоплательщика США (</w:t>
            </w:r>
            <w:r>
              <w:rPr>
                <w:rFonts w:eastAsia="Times New Roman" w:ascii="Times New Roman" w:hAnsi="Times New Roman"/>
                <w:sz w:val="18"/>
                <w:szCs w:val="18"/>
                <w:lang w:val="en-US" w:eastAsia="ru-RU"/>
              </w:rPr>
              <w:t>US</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Indicia</w:t>
            </w:r>
            <w:r>
              <w:rPr>
                <w:rFonts w:eastAsia="Times New Roman" w:ascii="Times New Roman" w:hAnsi="Times New Roman"/>
                <w:sz w:val="18"/>
                <w:szCs w:val="18"/>
                <w:lang w:eastAsia="ru-RU"/>
              </w:rPr>
              <w:t>)?</w:t>
            </w:r>
          </w:p>
        </w:tc>
        <w:tc>
          <w:tcPr>
            <w:tcW w:w="77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Нет признаков налогоплательщика США</w:t>
            </w:r>
            <w:r>
              <w:rPr>
                <w:rFonts w:eastAsia="Times New Roman" w:ascii="Times New Roman" w:hAnsi="Times New Roman"/>
                <w:i/>
                <w:sz w:val="18"/>
                <w:szCs w:val="18"/>
                <w:lang w:eastAsia="ru-RU"/>
              </w:rPr>
              <w:t>.</w:t>
            </w:r>
          </w:p>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 xml:space="preserve">Есть признаки налогоплательщика США:  </w:t>
            </w:r>
            <w:r>
              <w:rPr>
                <w:rFonts w:eastAsia="Times New Roman" w:ascii="Times New Roman" w:hAnsi="Times New Roman"/>
                <w:sz w:val="18"/>
                <w:szCs w:val="18"/>
                <w:lang w:eastAsia="ru-RU"/>
              </w:rPr>
              <w:t xml:space="preserve">      </w:t>
            </w:r>
            <w:r>
              <w:rPr>
                <w:rFonts w:eastAsia="Times New Roman" w:ascii="Times New Roman" w:hAnsi="Times New Roman"/>
                <w:i/>
                <w:sz w:val="18"/>
                <w:szCs w:val="18"/>
                <w:lang w:eastAsia="ru-RU"/>
              </w:rPr>
              <w:t>□ Форма W-8 представлена</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указан адрес в США,</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указан только телефонный номер США,</w:t>
            </w:r>
          </w:p>
          <w:p>
            <w:pPr>
              <w:pStyle w:val="ListParagraph"/>
              <w:keepNext w:val="true"/>
              <w:keepLines/>
              <w:numPr>
                <w:ilvl w:val="0"/>
                <w:numId w:val="2"/>
              </w:numPr>
              <w:spacing w:before="120" w:after="120"/>
              <w:ind w:left="1084" w:hanging="425"/>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юридическое лицо планирует осуществлять на периодический основе перевод денежных средств на счет или адрес, зарегистрированный в США.</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9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Является ли юридическое лицо Исключенной нефинансовой организацией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(Excepted NFFE)?</w:t>
            </w:r>
          </w:p>
        </w:tc>
        <w:tc>
          <w:tcPr>
            <w:tcW w:w="77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 xml:space="preserve">ДА, юридическое лицо является Исключенной нефинансовой организацией для целей </w:t>
            </w:r>
            <w:r>
              <w:rPr>
                <w:rFonts w:eastAsia="Times New Roman" w:ascii="Times New Roman" w:hAnsi="Times New Roman"/>
                <w:b/>
                <w:sz w:val="18"/>
                <w:szCs w:val="18"/>
                <w:lang w:val="en-US" w:eastAsia="ru-RU"/>
              </w:rPr>
              <w:t>FATCA</w:t>
            </w:r>
            <w:r>
              <w:rPr>
                <w:rFonts w:eastAsia="Times New Roman" w:ascii="Times New Roman" w:hAnsi="Times New Roman"/>
                <w:b/>
                <w:sz w:val="18"/>
                <w:szCs w:val="18"/>
                <w:lang w:eastAsia="ru-RU"/>
              </w:rPr>
              <w:t xml:space="preserve"> (Excepted NFFE) следующего вида (необходимо выбрать один вариант ответа):</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Нефинансовая организация, ведущая хозяйственную деятельность (Active NFFE), в результате которой менее 50 процентов валового дохода компании за предшествующий налоговый год (например, предыдущий календарный год или налоговый период, равный году) составляет пассивный доход (дивиденды, проценты, роялти и т.д.) и менее 50 процентов средневзвешенной доли активов, которыми компания владеет, составляют активы, которые приносят пассивный доход или были приобретены компанией для получения пассивного дохода</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Компания, акции которой регулярно обращаются на одном или более Организованных рынках ценных бумаг  (Publicly Traded Corporation)</w:t>
            </w:r>
          </w:p>
          <w:p>
            <w:pPr>
              <w:pStyle w:val="Normal"/>
              <w:spacing w:before="0" w:after="60"/>
              <w:ind w:left="737" w:hanging="0"/>
              <w:rPr>
                <w:rFonts w:ascii="Times New Roman" w:hAnsi="Times New Roman"/>
                <w:sz w:val="18"/>
                <w:szCs w:val="18"/>
              </w:rPr>
            </w:pPr>
            <w:r>
              <w:rPr>
                <w:rFonts w:ascii="Times New Roman" w:hAnsi="Times New Roman"/>
                <w:i/>
                <w:sz w:val="18"/>
                <w:szCs w:val="18"/>
              </w:rPr>
              <w:t>Укажите наименование биржи</w:t>
            </w:r>
            <w:r>
              <w:rPr>
                <w:rFonts w:ascii="Times New Roman" w:hAnsi="Times New Roman"/>
                <w:sz w:val="18"/>
                <w:szCs w:val="18"/>
              </w:rPr>
              <w:t xml:space="preserve"> …………………………………………………………………………</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Компания является членом расширенной аффилированной группы, в которую входит организация, акции которой регулярно обращаются на одном или более организованных рынках ценных бумаг (Certain affiliated entities related to a publicly traded corporation)</w:t>
            </w:r>
          </w:p>
          <w:p>
            <w:pPr>
              <w:pStyle w:val="Normal"/>
              <w:spacing w:before="0" w:after="60"/>
              <w:ind w:left="737" w:hanging="0"/>
              <w:rPr>
                <w:rFonts w:ascii="Times New Roman" w:hAnsi="Times New Roman"/>
                <w:sz w:val="18"/>
                <w:szCs w:val="18"/>
              </w:rPr>
            </w:pPr>
            <w:r>
              <w:rPr>
                <w:rFonts w:ascii="Times New Roman" w:hAnsi="Times New Roman"/>
                <w:i/>
                <w:sz w:val="18"/>
                <w:szCs w:val="18"/>
              </w:rPr>
              <w:t xml:space="preserve">Укажите наименование организации, акции которой регулярно обращаются на одном или более организованных рынках ценных бумаг </w:t>
            </w:r>
            <w:r>
              <w:rPr>
                <w:rFonts w:ascii="Times New Roman" w:hAnsi="Times New Roman"/>
                <w:sz w:val="18"/>
                <w:szCs w:val="18"/>
              </w:rPr>
              <w:t>…………………………………………………………………</w:t>
            </w:r>
          </w:p>
          <w:p>
            <w:pPr>
              <w:pStyle w:val="Normal"/>
              <w:spacing w:before="0" w:after="60"/>
              <w:ind w:left="737" w:hanging="0"/>
              <w:rPr>
                <w:rFonts w:ascii="Times New Roman" w:hAnsi="Times New Roman"/>
                <w:sz w:val="18"/>
                <w:szCs w:val="18"/>
              </w:rPr>
            </w:pPr>
            <w:r>
              <w:rPr>
                <w:rFonts w:ascii="Times New Roman" w:hAnsi="Times New Roman"/>
                <w:i/>
                <w:sz w:val="18"/>
                <w:szCs w:val="18"/>
              </w:rPr>
              <w:t>Укажите наименование биржи</w:t>
            </w:r>
            <w:r>
              <w:rPr>
                <w:rFonts w:ascii="Times New Roman" w:hAnsi="Times New Roman"/>
                <w:sz w:val="18"/>
                <w:szCs w:val="18"/>
              </w:rPr>
              <w:t xml:space="preserve"> …………………………………………………………………………</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Исключенная нефинансовая организация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NFFE</w:t>
            </w:r>
            <w:r>
              <w:rPr>
                <w:rFonts w:eastAsia="Times New Roman" w:ascii="Times New Roman" w:hAnsi="Times New Roman"/>
                <w:sz w:val="18"/>
                <w:szCs w:val="18"/>
                <w:lang w:eastAsia="ru-RU"/>
              </w:rPr>
              <w:t xml:space="preserve">), имеющая статус квалифицированного посредника, либо статус иностранного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партнерства или траста, признаваемых налоговыми агентами (</w:t>
            </w:r>
            <w:r>
              <w:rPr>
                <w:rFonts w:eastAsia="Times New Roman" w:ascii="Times New Roman" w:hAnsi="Times New Roman"/>
                <w:sz w:val="18"/>
                <w:szCs w:val="18"/>
                <w:lang w:val="en-US" w:eastAsia="ru-RU"/>
              </w:rPr>
              <w:t>Qualified</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Intermediary</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Withholding</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foreign</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partnership</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Withholding</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foreign</w:t>
            </w:r>
            <w:r>
              <w:rPr>
                <w:rFonts w:eastAsia="Times New Roman" w:ascii="Times New Roman" w:hAnsi="Times New Roman"/>
                <w:sz w:val="18"/>
                <w:szCs w:val="18"/>
                <w:lang w:eastAsia="ru-RU"/>
              </w:rPr>
              <w:t xml:space="preserve"> </w:t>
            </w:r>
            <w:r>
              <w:rPr>
                <w:rFonts w:eastAsia="Times New Roman" w:ascii="Times New Roman" w:hAnsi="Times New Roman"/>
                <w:sz w:val="18"/>
                <w:szCs w:val="18"/>
                <w:lang w:val="en-US" w:eastAsia="ru-RU"/>
              </w:rPr>
              <w:t>trust</w:t>
            </w:r>
            <w:r>
              <w:rPr>
                <w:rFonts w:eastAsia="Times New Roman" w:ascii="Times New Roman" w:hAnsi="Times New Roman"/>
                <w:sz w:val="18"/>
                <w:szCs w:val="18"/>
                <w:lang w:eastAsia="ru-RU"/>
              </w:rPr>
              <w:t>)</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Определенная территориальная организация (Certain territory entity) - организация прямо или косвенно полностью принадлежит добросовестным резидентам территории США</w:t>
            </w:r>
          </w:p>
          <w:p>
            <w:pPr>
              <w:pStyle w:val="ListParagraph"/>
              <w:keepNext w:val="true"/>
              <w:keepLines/>
              <w:spacing w:before="120" w:after="120"/>
              <w:ind w:left="601" w:hanging="0"/>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Под территорией США и владениями США подразумеваются: территории Американского Самоа, Гуам, Северных Марианских островов, Пуэрто-Рико или Американских Виргинских островов</w:t>
            </w:r>
          </w:p>
          <w:p>
            <w:pPr>
              <w:pStyle w:val="ListParagraph"/>
              <w:keepNext w:val="true"/>
              <w:keepLines/>
              <w:numPr>
                <w:ilvl w:val="0"/>
                <w:numId w:val="2"/>
              </w:numPr>
              <w:spacing w:before="120" w:after="120"/>
              <w:ind w:left="601" w:hanging="284"/>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Исключенная нефинансовая организация (Excepted nonfinancial entity). К данной категории относятся холдинговые, казначейские и зависимые финансовые компании - члены нефинансовых групп (см. определение в члена нефинансовой группы в Глоссарии – Приложение №1 к данному Вопроснику); вновь создаваемые нефинансовые «стартап» компании и компании, запускающие новые бизнес-линии; организации в процессе ликвидации или банкротства; некоммерческие организации.</w:t>
            </w:r>
          </w:p>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НЕТ, юридическое лицо не является Исключенной нефинансовой организацией (Excepted NFFE).</w:t>
            </w:r>
          </w:p>
          <w:p>
            <w:pPr>
              <w:pStyle w:val="Normal"/>
              <w:keepNext w:val="true"/>
              <w:keepLines/>
              <w:spacing w:before="120" w:after="120"/>
              <w:rPr>
                <w:rFonts w:ascii="Times New Roman" w:hAnsi="Times New Roman" w:eastAsia="Times New Roman"/>
                <w:i/>
                <w:i/>
                <w:sz w:val="18"/>
                <w:szCs w:val="18"/>
                <w:lang w:eastAsia="ru-RU"/>
              </w:rPr>
            </w:pPr>
            <w:r>
              <w:rPr>
                <w:rFonts w:ascii="Times New Roman" w:hAnsi="Times New Roman"/>
                <w:b/>
                <w:sz w:val="18"/>
                <w:szCs w:val="18"/>
              </w:rPr>
              <w:t>Если в п. 8 отмечено «ДА», перейдите к подписанию данного Вопросника (предоставление ответов на последующие вопросы не требуется).</w:t>
            </w:r>
          </w:p>
        </w:tc>
      </w:tr>
      <w:tr>
        <w:trPr>
          <w:trHeight w:val="701" w:hRule="atLeast"/>
        </w:trPr>
        <w:tc>
          <w:tcPr>
            <w:tcW w:w="22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keepLines/>
              <w:numPr>
                <w:ilvl w:val="0"/>
                <w:numId w:val="1"/>
              </w:numPr>
              <w:spacing w:before="120" w:after="120"/>
              <w:ind w:left="1004" w:hanging="108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tc>
        <w:tc>
          <w:tcPr>
            <w:tcW w:w="19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Есть ли у юридического лица существенные собственники (&gt;10%), являющиеся налогоплательщиками США? </w:t>
            </w:r>
          </w:p>
        </w:tc>
        <w:tc>
          <w:tcPr>
            <w:tcW w:w="77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 xml:space="preserve">НЕТ </w:t>
            </w:r>
          </w:p>
          <w:p>
            <w:pPr>
              <w:pStyle w:val="ListParagraph"/>
              <w:keepNext w:val="true"/>
              <w:numPr>
                <w:ilvl w:val="0"/>
                <w:numId w:val="3"/>
              </w:numPr>
              <w:spacing w:before="120" w:after="120"/>
              <w:ind w:left="318" w:hanging="284"/>
              <w:jc w:val="left"/>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t>ДА</w:t>
            </w:r>
          </w:p>
          <w:p>
            <w:pPr>
              <w:pStyle w:val="ListParagraph"/>
              <w:keepNext w:val="true"/>
              <w:spacing w:before="120" w:after="120"/>
              <w:ind w:left="449" w:hanging="0"/>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 xml:space="preserve">укажите следующую информацию в отношении каждого существенного собственника, являющегося налогоплательщиком США с долей владения более 10%: </w:t>
            </w:r>
          </w:p>
          <w:p>
            <w:pPr>
              <w:pStyle w:val="ListParagraph"/>
              <w:keepNext w:val="true"/>
              <w:spacing w:before="120" w:after="120"/>
              <w:ind w:left="449" w:hanging="0"/>
              <w:contextualSpacing/>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Наименование/ ФИО (на английском языке)…….……………………………..</w:t>
            </w:r>
          </w:p>
          <w:p>
            <w:pPr>
              <w:pStyle w:val="ListParagraph"/>
              <w:keepNext w:val="true"/>
              <w:spacing w:before="120" w:after="120"/>
              <w:ind w:left="449" w:hanging="0"/>
              <w:contextualSpacing/>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Адрес (на английском языке)     ……………………………………………………..</w:t>
            </w:r>
          </w:p>
          <w:p>
            <w:pPr>
              <w:pStyle w:val="ListParagraph"/>
              <w:keepNext w:val="true"/>
              <w:spacing w:before="120" w:after="120"/>
              <w:ind w:left="449" w:hanging="0"/>
              <w:contextualSpacing/>
              <w:jc w:val="left"/>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ИНН США…………………………………………………………………………………</w:t>
            </w:r>
          </w:p>
          <w:p>
            <w:pPr>
              <w:pStyle w:val="ListParagraph"/>
              <w:keepNext w:val="true"/>
              <w:spacing w:before="120" w:after="120"/>
              <w:ind w:left="449" w:hanging="0"/>
              <w:contextualSpacing/>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ListParagraph"/>
              <w:keepNext w:val="true"/>
              <w:keepLines/>
              <w:numPr>
                <w:ilvl w:val="0"/>
                <w:numId w:val="5"/>
              </w:numPr>
              <w:spacing w:before="120" w:after="120"/>
              <w:ind w:left="762" w:hanging="283"/>
              <w:jc w:val="left"/>
              <w:rPr>
                <w:rFonts w:ascii="Times New Roman" w:hAnsi="Times New Roman" w:eastAsia="Times New Roman"/>
                <w:sz w:val="18"/>
                <w:szCs w:val="18"/>
                <w:lang w:eastAsia="ru-RU"/>
              </w:rPr>
            </w:pPr>
            <w:r>
              <w:rPr>
                <w:rFonts w:eastAsia="Times New Roman" w:ascii="Times New Roman" w:hAnsi="Times New Roman"/>
                <w:sz w:val="18"/>
                <w:szCs w:val="18"/>
                <w:lang w:eastAsia="ru-RU"/>
              </w:rPr>
              <w:t>Подтверждаю получение согласия от каждого существенного собственника, являющегося налогоплательщиком США, в отношении раскрытия вышеуказанной информации Банку и права Банка осуществить трансграничную передачу полученной информации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
          <w:p>
            <w:pPr>
              <w:pStyle w:val="Normal"/>
              <w:keepNext w:val="true"/>
              <w:spacing w:before="120" w:after="120"/>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В случае указания информации в отношении каждого существенного собственника, являющегося налогоплательщиком США с долей владения более 10%, юридическое лицо является Пассивной нефинансовой иностранной для целей </w:t>
            </w:r>
            <w:r>
              <w:rPr>
                <w:rFonts w:eastAsia="Times New Roman" w:ascii="Times New Roman" w:hAnsi="Times New Roman"/>
                <w:sz w:val="18"/>
                <w:szCs w:val="18"/>
                <w:lang w:val="en-US" w:eastAsia="ru-RU"/>
              </w:rPr>
              <w:t>FATCA</w:t>
            </w:r>
            <w:r>
              <w:rPr>
                <w:rFonts w:eastAsia="Times New Roman" w:ascii="Times New Roman" w:hAnsi="Times New Roman"/>
                <w:sz w:val="18"/>
                <w:szCs w:val="18"/>
                <w:lang w:eastAsia="ru-RU"/>
              </w:rPr>
              <w:t xml:space="preserve"> организацией с существенными собственниками из США (Passive NFFE with substantial US owners).</w:t>
            </w:r>
          </w:p>
        </w:tc>
      </w:tr>
    </w:tbl>
    <w:p>
      <w:pPr>
        <w:pStyle w:val="Normal"/>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r>
    </w:p>
    <w:p>
      <w:pPr>
        <w:pStyle w:val="Normal"/>
        <w:spacing w:before="0" w:after="120"/>
        <w:ind w:left="284" w:hanging="0"/>
        <w:rPr>
          <w:rFonts w:ascii="Times New Roman" w:hAnsi="Times New Roman" w:eastAsia="Times New Roman"/>
          <w:sz w:val="18"/>
          <w:szCs w:val="18"/>
          <w:lang w:eastAsia="ru-RU"/>
        </w:rPr>
      </w:pPr>
      <w:r>
        <w:rPr>
          <w:rFonts w:eastAsia="Times New Roman" w:ascii="Times New Roman" w:hAnsi="Times New Roman"/>
          <w:sz w:val="18"/>
          <w:szCs w:val="18"/>
          <w:lang w:eastAsia="ru-RU"/>
        </w:rPr>
        <w:t>Подписывая настоящий Вопросник, юридическое лицо – Клиент:</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заверяет и гарантирует Банку, что на дату подписания, информация, указанная в данном Вопроснике является верной, полной и достоверной;</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подтверждает, что Банк может руководствоваться данным Вопросником для принятия решения о классификации финансовой организации в соответствии с FATCA и необходимости удержания налогов в соответствии с Главой 4 Налогового Кодекса США;</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обязуется уведомить Банк об изменении любого факта или подтверждения, указанного в данном Вопроснике, в течение 30 дней с даты их изменения;</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в целях соблюдения требований FATCA  предоставляет Банку «ТРАСТ» (ПАО) (Банк), расположенному по адресу: 105066, Российская Федерация, город Москва, ул. Спартаковская, дом 5, строение 1  свое согласие на обработку информации и сведений, указанных в настоящем Вопроснике, персональных данных и сведений, указанных в форме W-8/W-9, иной информации для целей установления FATCA статуса  и трансграничную передачу  данных сведений  иностранному налоговому органу, включая IRS (Налоговую  Службу США) и/или иностранным  налоговым агентам, уполномоченным иностранным налоговым органом на удержание иностранных налогов и сборов,  а также свое согласие на передачу указанным лицам  данных о сделках, счетах, вкладах, остатках на счетах/вкладах и информации об операциях по счетам.</w:t>
      </w:r>
    </w:p>
    <w:p>
      <w:pPr>
        <w:pStyle w:val="ListParagraph"/>
        <w:numPr>
          <w:ilvl w:val="0"/>
          <w:numId w:val="4"/>
        </w:numPr>
        <w:spacing w:before="0" w:after="120"/>
        <w:ind w:left="714" w:hanging="357"/>
        <w:contextualSpacing/>
        <w:rPr>
          <w:rFonts w:ascii="Times New Roman" w:hAnsi="Times New Roman"/>
          <w:sz w:val="18"/>
          <w:szCs w:val="18"/>
        </w:rPr>
      </w:pPr>
      <w:r>
        <w:rPr>
          <w:rFonts w:ascii="Times New Roman" w:hAnsi="Times New Roman"/>
          <w:sz w:val="18"/>
          <w:szCs w:val="18"/>
        </w:rPr>
        <w:t>подтверждает отсутствие у Банка ответственности за удержание налоговыми агентами из каких-либо выплат в пользу Клиента сумм, причитающихся к уплате налога.</w:t>
      </w:r>
    </w:p>
    <w:p>
      <w:pPr>
        <w:pStyle w:val="Normal"/>
        <w:spacing w:before="0" w:after="120"/>
        <w:rPr>
          <w:rFonts w:ascii="Times New Roman" w:hAnsi="Times New Roman"/>
          <w:sz w:val="18"/>
          <w:szCs w:val="18"/>
        </w:rPr>
      </w:pPr>
      <w:r>
        <w:rPr>
          <w:rFonts w:ascii="Times New Roman" w:hAnsi="Times New Roman"/>
          <w:sz w:val="18"/>
          <w:szCs w:val="18"/>
        </w:rPr>
      </w:r>
    </w:p>
    <w:p>
      <w:pPr>
        <w:pStyle w:val="Normal"/>
        <w:keepNext w:val="true"/>
        <w:tabs>
          <w:tab w:val="clear" w:pos="708"/>
          <w:tab w:val="left" w:pos="0" w:leader="none"/>
        </w:tabs>
        <w:spacing w:before="0" w:after="0"/>
        <w:ind w:left="284" w:hanging="0"/>
        <w:rPr>
          <w:rFonts w:ascii="Times New Roman" w:hAnsi="Times New Roman"/>
          <w:i/>
          <w:i/>
          <w:sz w:val="18"/>
          <w:szCs w:val="18"/>
        </w:rPr>
      </w:pPr>
      <w:r>
        <w:rPr>
          <w:rFonts w:eastAsia="Times New Roman" w:ascii="Times New Roman" w:hAnsi="Times New Roman"/>
          <w:i/>
          <w:sz w:val="18"/>
          <w:szCs w:val="18"/>
          <w:lang w:eastAsia="ru-RU"/>
        </w:rPr>
        <w:t xml:space="preserve">Дополнительно сообщаем, что если Клиент, заполнивший Вопросник, является лицом,  учрежденным в соответствии с законодательством РФ, существенные собственники более 90% акций (долей) уставного капитала которого прямо или косвенно контролируются РФ и (или) гражданами РФ, которые не имеют одновременно с гражданством РФ гражданство иностранного государства (за исключением гражданства государств - членов Таможенного союза) или вида на жительство в иностранном государстве, то персонифицированная информация, отраженная в настоящем Вопроснике, не подлежит </w:t>
      </w:r>
      <w:r>
        <w:rPr>
          <w:rFonts w:ascii="Times New Roman" w:hAnsi="Times New Roman"/>
          <w:i/>
          <w:sz w:val="18"/>
          <w:szCs w:val="18"/>
        </w:rPr>
        <w:t>трансграничной передаче  иностранному налоговому органу, включая IRS (Налоговую  Службу США) и/или иностранным  налоговым агентам, уполномоченным иностранным налоговым органом на удержание иностранных налогов и сборов,  а также не подлежат передаче указанным лицам  данные о сделках, счетах, вкладах, остатках на счетах/вкладах и информация об операциях по счетам.</w:t>
      </w:r>
    </w:p>
    <w:p>
      <w:pPr>
        <w:pStyle w:val="Normal"/>
        <w:keepNext w:val="true"/>
        <w:tabs>
          <w:tab w:val="clear" w:pos="708"/>
          <w:tab w:val="left" w:pos="0" w:leader="none"/>
        </w:tabs>
        <w:spacing w:before="0" w:after="12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Банк в полной мере соблюдает режим конфиденциальности и нераспространения  сведений, полученных в ходе идентификации Клиента, третьим лицам.</w:t>
      </w:r>
    </w:p>
    <w:p>
      <w:pPr>
        <w:pStyle w:val="Normal"/>
        <w:keepNext w:val="true"/>
        <w:tabs>
          <w:tab w:val="clear" w:pos="708"/>
          <w:tab w:val="left" w:pos="0" w:leader="none"/>
        </w:tabs>
        <w:spacing w:before="0" w:after="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(Руководитель организации /                                   _____________                 ____________________________</w:t>
      </w:r>
    </w:p>
    <w:p>
      <w:pPr>
        <w:pStyle w:val="Normal"/>
        <w:keepNext w:val="true"/>
        <w:tabs>
          <w:tab w:val="clear" w:pos="708"/>
          <w:tab w:val="left" w:pos="0" w:leader="none"/>
        </w:tabs>
        <w:spacing w:before="0" w:after="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Уполномоченное лицо)                                              (подпись)</w:t>
        <w:tab/>
        <w:tab/>
        <w:t xml:space="preserve">           (ФИО полностью)</w:t>
      </w:r>
    </w:p>
    <w:p>
      <w:pPr>
        <w:pStyle w:val="Normal"/>
        <w:keepNext w:val="true"/>
        <w:tabs>
          <w:tab w:val="clear" w:pos="708"/>
          <w:tab w:val="left" w:pos="0" w:leader="none"/>
        </w:tabs>
        <w:spacing w:before="0" w:after="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М.П.                                                «__________» ___________________________20____г.</w:t>
      </w:r>
    </w:p>
    <w:p>
      <w:pPr>
        <w:pStyle w:val="Normal"/>
        <w:keepNext w:val="true"/>
        <w:tabs>
          <w:tab w:val="clear" w:pos="708"/>
          <w:tab w:val="left" w:pos="0" w:leader="none"/>
        </w:tabs>
        <w:spacing w:before="0" w:after="0"/>
        <w:ind w:left="284" w:hanging="0"/>
        <w:rPr>
          <w:rFonts w:ascii="Times New Roman" w:hAnsi="Times New Roman" w:eastAsia="Times New Roman"/>
          <w:i/>
          <w:i/>
          <w:sz w:val="18"/>
          <w:szCs w:val="18"/>
          <w:lang w:eastAsia="ru-RU"/>
        </w:rPr>
      </w:pPr>
      <w:r>
        <w:rPr>
          <w:rFonts w:eastAsia="Times New Roman" w:ascii="Times New Roman" w:hAnsi="Times New Roman"/>
          <w:i/>
          <w:sz w:val="18"/>
          <w:szCs w:val="18"/>
          <w:lang w:eastAsia="ru-RU"/>
        </w:rPr>
        <w:tab/>
        <w:tab/>
        <w:tab/>
        <w:tab/>
        <w:t xml:space="preserve">                               (дата)</w:t>
      </w:r>
    </w:p>
    <w:p>
      <w:pPr>
        <w:pStyle w:val="Normal"/>
        <w:keepNext w:val="true"/>
        <w:tabs>
          <w:tab w:val="clear" w:pos="708"/>
          <w:tab w:val="left" w:pos="0" w:leader="none"/>
        </w:tabs>
        <w:ind w:left="284" w:hanging="0"/>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keepNext w:val="true"/>
        <w:ind w:left="6662" w:hanging="0"/>
        <w:jc w:val="right"/>
        <w:rPr>
          <w:rFonts w:ascii="Times New Roman" w:hAnsi="Times New Roman"/>
          <w:sz w:val="18"/>
          <w:szCs w:val="18"/>
        </w:rPr>
      </w:pPr>
      <w:r>
        <w:rPr>
          <w:rFonts w:ascii="Times New Roman" w:hAnsi="Times New Roman"/>
          <w:sz w:val="18"/>
          <w:szCs w:val="18"/>
        </w:rPr>
        <w:t xml:space="preserve">Приложение 1 </w:t>
      </w:r>
    </w:p>
    <w:p>
      <w:pPr>
        <w:pStyle w:val="Normal"/>
        <w:keepNext w:val="true"/>
        <w:spacing w:before="120" w:after="120"/>
        <w:ind w:right="23" w:hanging="0"/>
        <w:jc w:val="center"/>
        <w:rPr>
          <w:rFonts w:ascii="Times New Roman" w:hAnsi="Times New Roman" w:eastAsia="Times New Roman"/>
          <w:i/>
          <w:i/>
          <w:sz w:val="18"/>
          <w:szCs w:val="18"/>
          <w:lang w:eastAsia="ru-RU"/>
        </w:rPr>
      </w:pPr>
      <w:r>
        <w:rPr>
          <w:rFonts w:ascii="Times New Roman" w:hAnsi="Times New Roman"/>
          <w:b/>
          <w:sz w:val="18"/>
          <w:szCs w:val="18"/>
        </w:rPr>
        <w:t>Глоссарий терминов</w:t>
      </w:r>
      <w:r>
        <w:rPr>
          <w:rStyle w:val="FootnoteAnchor"/>
          <w:rFonts w:ascii="Times New Roman" w:hAnsi="Times New Roman"/>
          <w:b/>
          <w:sz w:val="18"/>
          <w:szCs w:val="18"/>
        </w:rPr>
        <w:footnoteReference w:id="5"/>
      </w:r>
      <w:r>
        <w:rPr>
          <w:rFonts w:ascii="Times New Roman" w:hAnsi="Times New Roman"/>
          <w:b/>
          <w:sz w:val="18"/>
          <w:szCs w:val="18"/>
        </w:rPr>
        <w:t xml:space="preserve"> в соответствии с требованиями FATCA</w:t>
      </w:r>
      <w:r>
        <w:rPr>
          <w:rStyle w:val="FootnoteAnchor"/>
          <w:rFonts w:ascii="Times New Roman" w:hAnsi="Times New Roman"/>
          <w:b/>
          <w:sz w:val="18"/>
          <w:szCs w:val="18"/>
        </w:rPr>
        <w:footnoteReference w:id="6"/>
      </w:r>
    </w:p>
    <w:tbl>
      <w:tblPr>
        <w:tblStyle w:val="af7"/>
        <w:tblW w:w="5000" w:type="pct"/>
        <w:jc w:val="left"/>
        <w:tblInd w:w="0" w:type="dxa"/>
        <w:tblCellMar>
          <w:top w:w="0" w:type="dxa"/>
          <w:left w:w="108" w:type="dxa"/>
          <w:bottom w:w="0" w:type="dxa"/>
          <w:right w:w="108" w:type="dxa"/>
        </w:tblCellMar>
        <w:tblLook w:val="04a0" w:noHBand="0" w:noVBand="1" w:firstColumn="1" w:lastRow="0" w:lastColumn="0" w:firstRow="1"/>
      </w:tblPr>
      <w:tblGrid>
        <w:gridCol w:w="2228"/>
        <w:gridCol w:w="7692"/>
      </w:tblGrid>
      <w:tr>
        <w:trPr>
          <w:tblHeader w:val="true"/>
        </w:trPr>
        <w:tc>
          <w:tcPr>
            <w:tcW w:w="2228" w:type="dxa"/>
            <w:tcBorders/>
            <w:shd w:color="auto" w:fill="D9D9D9" w:themeFill="background1" w:themeFillShade="d9" w:val="clear"/>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Термин</w:t>
            </w:r>
          </w:p>
        </w:tc>
        <w:tc>
          <w:tcPr>
            <w:tcW w:w="7692" w:type="dxa"/>
            <w:tcBorders/>
            <w:shd w:color="auto" w:fill="D9D9D9" w:themeFill="background1" w:themeFillShade="d9" w:val="clear"/>
          </w:tcPr>
          <w:p>
            <w:pPr>
              <w:pStyle w:val="Normal"/>
              <w:keepNext w:val="true"/>
              <w:tabs>
                <w:tab w:val="clear" w:pos="708"/>
                <w:tab w:val="left" w:pos="0" w:leader="none"/>
              </w:tabs>
              <w:spacing w:before="0" w:after="200"/>
              <w:ind w:left="28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Определение</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Вновь создаваемые нефинансовые компании – «стартап» и компании, запускающие новые бизнес-линии (Excepted nonfinancial start-up companies or companies entering a new line of business)</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Иностранная компания (по FATCA учреждена за пределами США), которая инвестирует капитал в активы с целью занятия новым видом деятельности или создания новых бизнес-линий, отличных от деятельности финансового института или пассивной иностранной финансовой организации, признается «стартап» компанией в течение:</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24 месяцев со дня создания такой компании, либо</w:t>
            </w:r>
          </w:p>
          <w:p>
            <w:pPr>
              <w:pStyle w:val="Normal"/>
              <w:keepNext w:val="true"/>
              <w:numPr>
                <w:ilvl w:val="0"/>
                <w:numId w:val="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24 месяцев со дня вынесения решения совета директоров (или иного аналогичного решения) о запуске новой линии бизнеса, при условии, что такая компания признавалась Нефинансовая организация, ведущая хозяйственную деятельность (Active NFFE) в течение 24 месяцев до даты вынесения такого решения.</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К данной категории не относятся компании, образованные при участии (и используемые в качестве) фондов прямого инвестирования, фондов венчурного капитала, фондов заемных средств, или иных подобных инвестиционных компаний, созданных с инвестиционной целью приобретения или финансирования компаний, и рассматриваемые как капитальные активы, приобретенные в инвестиционных целях.</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Глобальный Идентификационный Номер Посредника (</w:t>
            </w:r>
            <w:r>
              <w:rPr>
                <w:rFonts w:eastAsia="Times New Roman" w:cs="Calibri" w:ascii="Times New Roman" w:hAnsi="Times New Roman"/>
                <w:b/>
                <w:sz w:val="18"/>
                <w:szCs w:val="18"/>
                <w:lang w:val="en-US" w:eastAsia="ru-RU"/>
              </w:rPr>
              <w:t xml:space="preserve">Global Intermediary Identification Number, </w:t>
            </w:r>
            <w:r>
              <w:rPr>
                <w:rFonts w:eastAsia="Times New Roman" w:cs="Calibri" w:ascii="Times New Roman" w:hAnsi="Times New Roman"/>
                <w:b/>
                <w:sz w:val="18"/>
                <w:szCs w:val="18"/>
                <w:lang w:eastAsia="ru-RU"/>
              </w:rPr>
              <w:t xml:space="preserve">GIIN) </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Идентификационный номер, который присваивается FFI, участвующему в применении FATCA, либо зарегистрированному FFI, признанному соблюдающим требования FATCA (включая FFI, предоставляющего информацию в соответствии с Моделью 1 Соглашения для целей идентификации такой организации налоговыми агентами).</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Также некоторые Пассивные NFFE могут регистрироваться на портале Налоговой службы США и получать статус Нефинансовой иностранной для целей FATCA организации, напрямую предоставляющей отчетность в IRS США (Direct Reporting NFFE) или Спонсируемой нефинансовой иностранной для целей FATCA организации, напрямую предоставляющей отчетность в IRS США (Sponsored Direct Reporting NFFE) (в данном случае регистрация осуществляется спонсирующей организацией). Все GIIN отражаются в списке Налоговой службы США FFI, участвующих в применении FATCA.</w:t>
            </w:r>
          </w:p>
        </w:tc>
      </w:tr>
    </w:tbl>
    <w:p>
      <w:pPr>
        <w:pStyle w:val="Normal"/>
        <w:rPr/>
      </w:pPr>
      <w:r>
        <w:rPr/>
      </w:r>
      <w:r>
        <w:br w:type="page"/>
      </w:r>
    </w:p>
    <w:tbl>
      <w:tblPr>
        <w:tblStyle w:val="af7"/>
        <w:tblW w:w="5000" w:type="pct"/>
        <w:jc w:val="left"/>
        <w:tblInd w:w="0" w:type="dxa"/>
        <w:tblCellMar>
          <w:top w:w="0" w:type="dxa"/>
          <w:left w:w="108" w:type="dxa"/>
          <w:bottom w:w="0" w:type="dxa"/>
          <w:right w:w="108" w:type="dxa"/>
        </w:tblCellMar>
        <w:tblLook w:val="04a0" w:noHBand="0" w:noVBand="1" w:firstColumn="1" w:lastRow="0" w:lastColumn="0" w:firstRow="1"/>
      </w:tblPr>
      <w:tblGrid>
        <w:gridCol w:w="2228"/>
        <w:gridCol w:w="7692"/>
      </w:tblGrid>
      <w:tr>
        <w:trPr/>
        <w:tc>
          <w:tcPr>
            <w:tcW w:w="2228" w:type="dxa"/>
            <w:tcBorders/>
          </w:tcPr>
          <w:p>
            <w:pPr>
              <w:pStyle w:val="Normal"/>
              <w:keepNext w:val="true"/>
              <w:pageBreakBefor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Идентификационный номер налогоплательщика, ИНН (Taxpayer Identification Number, TIN)</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Идентификационный номер, используемый для целей налогообложения в США, который присваивается налогоплательщикам США. ИНН США подразделяется на следующие типы идентификационных номеров:</w:t>
            </w:r>
          </w:p>
          <w:p>
            <w:pPr>
              <w:pStyle w:val="Normal"/>
              <w:keepNext w:val="true"/>
              <w:numPr>
                <w:ilvl w:val="0"/>
                <w:numId w:val="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номер социального страхования (SSN);</w:t>
            </w:r>
          </w:p>
          <w:p>
            <w:pPr>
              <w:pStyle w:val="Normal"/>
              <w:keepNext w:val="true"/>
              <w:numPr>
                <w:ilvl w:val="0"/>
                <w:numId w:val="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идентификационный номер работодателя (EIN);</w:t>
            </w:r>
          </w:p>
          <w:p>
            <w:pPr>
              <w:pStyle w:val="Normal"/>
              <w:keepNext w:val="true"/>
              <w:numPr>
                <w:ilvl w:val="0"/>
                <w:numId w:val="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идентификационный номер налогоплательщика – физического лица (ITIN);</w:t>
            </w:r>
          </w:p>
          <w:p>
            <w:pPr>
              <w:pStyle w:val="Normal"/>
              <w:keepNext w:val="true"/>
              <w:numPr>
                <w:ilvl w:val="0"/>
                <w:numId w:val="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идентификационный номер налогоплательщика для детей, удочерение или усыновление которых оформляется в США (ATIN).</w:t>
            </w:r>
          </w:p>
        </w:tc>
      </w:tr>
      <w:tr>
        <w:trPr/>
        <w:tc>
          <w:tcPr>
            <w:tcW w:w="2228" w:type="dxa"/>
            <w:tcBorders/>
          </w:tcPr>
          <w:p>
            <w:pPr>
              <w:pStyle w:val="Normal"/>
              <w:keepNext w:val="true"/>
              <w:tabs>
                <w:tab w:val="clear" w:pos="708"/>
                <w:tab w:val="left" w:pos="0" w:leader="none"/>
              </w:tabs>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 xml:space="preserve">Иностранные для целей </w:t>
            </w:r>
            <w:r>
              <w:rPr>
                <w:rFonts w:eastAsia="Times New Roman" w:cs="Calibri" w:ascii="Times New Roman" w:hAnsi="Times New Roman"/>
                <w:b/>
                <w:sz w:val="18"/>
                <w:szCs w:val="18"/>
                <w:lang w:val="en-US" w:eastAsia="ru-RU"/>
              </w:rPr>
              <w:t>FATCA</w:t>
            </w:r>
            <w:r>
              <w:rPr>
                <w:rFonts w:eastAsia="Times New Roman" w:cs="Calibri" w:ascii="Times New Roman" w:hAnsi="Times New Roman"/>
                <w:b/>
                <w:sz w:val="18"/>
                <w:szCs w:val="18"/>
                <w:lang w:eastAsia="ru-RU"/>
              </w:rPr>
              <w:t xml:space="preserve"> организации, признаваемые членами нефинансовой группы (Excepted nonfinancial group entities)</w:t>
            </w:r>
          </w:p>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r>
          </w:p>
        </w:tc>
        <w:tc>
          <w:tcPr>
            <w:tcW w:w="7692" w:type="dxa"/>
            <w:tcBorders/>
          </w:tcPr>
          <w:p>
            <w:pPr>
              <w:pStyle w:val="Normal"/>
              <w:keepNext w:val="true"/>
              <w:tabs>
                <w:tab w:val="clear" w:pos="708"/>
                <w:tab w:val="left" w:pos="0" w:leader="none"/>
              </w:tabs>
              <w:ind w:left="284" w:hanging="0"/>
              <w:rPr>
                <w:rFonts w:ascii="Times New Roman" w:hAnsi="Times New Roman" w:eastAsia="Times New Roman"/>
                <w:i/>
                <w:i/>
                <w:sz w:val="18"/>
                <w:szCs w:val="18"/>
              </w:rPr>
            </w:pPr>
            <w:r>
              <w:rPr>
                <w:rFonts w:eastAsia="Times New Roman" w:cs="Calibri" w:ascii="Times New Roman" w:hAnsi="Times New Roman"/>
                <w:sz w:val="18"/>
                <w:szCs w:val="18"/>
                <w:lang w:eastAsia="ru-RU"/>
              </w:rPr>
              <w:t>К данной группе относятся нефинансовые холдинговые компании, хеджинговые и финансовые центры (включая кэптивные финансовые компании) нефинансовых групп, за исключением инвестиционных фондов, при соблюдении условий, описанных ниже:</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Иностранная организация (по FATCA учреждена за пределами США) признается </w:t>
            </w:r>
            <w:r>
              <w:rPr>
                <w:rFonts w:eastAsia="Times New Roman" w:cs="Calibri" w:ascii="Times New Roman" w:hAnsi="Times New Roman"/>
                <w:i/>
                <w:sz w:val="18"/>
                <w:szCs w:val="18"/>
                <w:lang w:eastAsia="ru-RU"/>
              </w:rPr>
              <w:t>членом</w:t>
            </w:r>
            <w:r>
              <w:rPr>
                <w:rFonts w:eastAsia="Times New Roman" w:cs="Calibri" w:ascii="Times New Roman" w:hAnsi="Times New Roman"/>
                <w:sz w:val="18"/>
                <w:szCs w:val="18"/>
                <w:lang w:eastAsia="ru-RU"/>
              </w:rPr>
              <w:t xml:space="preserve"> </w:t>
            </w:r>
            <w:r>
              <w:rPr>
                <w:rFonts w:eastAsia="Times New Roman" w:cs="Calibri" w:ascii="Times New Roman" w:hAnsi="Times New Roman"/>
                <w:i/>
                <w:sz w:val="18"/>
                <w:szCs w:val="18"/>
                <w:lang w:eastAsia="ru-RU"/>
              </w:rPr>
              <w:t>нефинансовой группы</w:t>
            </w:r>
            <w:r>
              <w:rPr>
                <w:rFonts w:eastAsia="Times New Roman" w:cs="Calibri" w:ascii="Times New Roman" w:hAnsi="Times New Roman"/>
                <w:sz w:val="18"/>
                <w:szCs w:val="18"/>
                <w:lang w:eastAsia="ru-RU"/>
              </w:rPr>
              <w:t xml:space="preserve"> при соблюдении следующих условий:</w:t>
            </w:r>
          </w:p>
          <w:p>
            <w:pPr>
              <w:pStyle w:val="Normal"/>
              <w:keepNext w:val="true"/>
              <w:numPr>
                <w:ilvl w:val="0"/>
                <w:numId w:val="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не принимает средства во вклады, не осуществляет банковскую или иную аналогичную деятельность и не является депозитарием (за исключением случаев, когда данная деятельность осуществляется только для членов расширенной группы аффилированных лиц, в которую она входит)</w:t>
            </w:r>
          </w:p>
          <w:p>
            <w:pPr>
              <w:pStyle w:val="Normal"/>
              <w:keepNext w:val="true"/>
              <w:numPr>
                <w:ilvl w:val="0"/>
                <w:numId w:val="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является холдинговой компанией, финансовым центром, кэптивной финансовой компанией, и получает значительную долю доходов от такой деятельности</w:t>
            </w:r>
          </w:p>
          <w:p>
            <w:pPr>
              <w:pStyle w:val="Normal"/>
              <w:keepNext w:val="true"/>
              <w:numPr>
                <w:ilvl w:val="0"/>
                <w:numId w:val="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не образована при участии (и не позиционируется в качестве) фондов прямого инвестирования, фондов венчурного капитала, фондов заемных средств, или иных подобных инвестиционных компаний, созданных с инвестиционной целью приобретения или финансирования компаний, и рассматриваемых как капитальные активы, приобретенные в инвестиционных целях. Компания не считается образованной или используемой с инвестиционной целью в случае, если до приобретения такая компания существовала не менее шести месяцев и осуществляла деятельность на регулярной основе, при условии отсутствия иных фактов, доказывающих обратное.</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Расширенная группа аффилированных лиц (владение и контроль более 50%) признается нефинансовой группой в случае, если:</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В течение трехлетнего периода (но не дольше периода существования расширенной группы аффилированных лиц), предшествующего году, в котором будет определен статус группы: (i) «пассивные» доходы составляют не более 25% от валовых доходов группы (за исключением доходов, полученных членами группы, являющихся вновь созданными компаниями либо компаниями, находящимися в процессе ликвидации или банкротства, исключенными для целей FATCA, и от межгрупповых транзакций членов группы); (ii) не более 5% валовой выручки группы могут быть получено от членов группы, являющихся FFI (за исключением доходов от определенных видов операций между членами группы, либо доходов, полученных сертифицированными финансовыми институтами, признанными соблюдающими требования FATCA (Certified deemed-compliant FFI) и (iii) стоимость активов группы, используемых для получения «пассивных» доходов, должна составлять не более 25% от рыночной стоимости всех активов группы (без учета активов, принадлежащих членам группы, являющихся вновь созданными компаниями либо компаниями, находящимися в процессе ликвидации или банкротства, исключенными для целей FATCA, и активов, полученных в результате межгрупповых транзакций), и</w:t>
            </w:r>
          </w:p>
          <w:p>
            <w:pPr>
              <w:pStyle w:val="Normal"/>
              <w:keepNext w:val="true"/>
              <w:numPr>
                <w:ilvl w:val="0"/>
                <w:numId w:val="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Все FFI, являющиеся членами группы, должны признаваться либо финансовыми институтами, участвующими в применении FATCA (Participating FFI), либо финансовыми институтами, признанными соблюдающими требования FATCA (</w:t>
            </w:r>
            <w:r>
              <w:rPr>
                <w:rFonts w:eastAsia="Times New Roman" w:cs="Calibri" w:ascii="Times New Roman" w:hAnsi="Times New Roman"/>
                <w:sz w:val="18"/>
                <w:szCs w:val="18"/>
                <w:lang w:val="en-US" w:eastAsia="ru-RU"/>
              </w:rPr>
              <w:t>D</w:t>
            </w:r>
            <w:r>
              <w:rPr>
                <w:rFonts w:eastAsia="Times New Roman" w:cs="Calibri" w:ascii="Times New Roman" w:hAnsi="Times New Roman"/>
                <w:sz w:val="18"/>
                <w:szCs w:val="18"/>
                <w:lang w:eastAsia="ru-RU"/>
              </w:rPr>
              <w:t>eemed-compliant FFI).</w:t>
            </w:r>
          </w:p>
        </w:tc>
      </w:tr>
      <w:tr>
        <w:trPr/>
        <w:tc>
          <w:tcPr>
            <w:tcW w:w="2228" w:type="dxa"/>
            <w:tcBorders/>
            <w:shd w:color="auto" w:fill="auto" w:val="clear"/>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Исключенная нефинансовая организация (</w:t>
            </w:r>
            <w:r>
              <w:rPr>
                <w:rFonts w:eastAsia="Times New Roman" w:cs="Calibri" w:ascii="Times New Roman" w:hAnsi="Times New Roman"/>
                <w:b/>
                <w:sz w:val="18"/>
                <w:szCs w:val="18"/>
                <w:lang w:val="en-US" w:eastAsia="ru-RU"/>
              </w:rPr>
              <w:t>Excepted</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NFFE</w:t>
            </w:r>
            <w:r>
              <w:rPr>
                <w:rFonts w:eastAsia="Times New Roman" w:cs="Calibri" w:ascii="Times New Roman" w:hAnsi="Times New Roman"/>
                <w:b/>
                <w:sz w:val="18"/>
                <w:szCs w:val="18"/>
                <w:lang w:eastAsia="ru-RU"/>
              </w:rPr>
              <w:t>)</w:t>
            </w:r>
          </w:p>
        </w:tc>
        <w:tc>
          <w:tcPr>
            <w:tcW w:w="7692" w:type="dxa"/>
            <w:tcBorders/>
            <w:shd w:color="auto" w:fill="auto" w:val="clear"/>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К Исключенным нефинансовым организациям (</w:t>
            </w:r>
            <w:r>
              <w:rPr>
                <w:rFonts w:eastAsia="Times New Roman" w:cs="Calibri" w:ascii="Times New Roman" w:hAnsi="Times New Roman"/>
                <w:sz w:val="18"/>
                <w:szCs w:val="18"/>
                <w:lang w:val="en-US" w:eastAsia="ru-RU"/>
              </w:rPr>
              <w:t>Excepted</w:t>
            </w:r>
            <w:r>
              <w:rPr>
                <w:rFonts w:eastAsia="Times New Roman" w:cs="Calibri" w:ascii="Times New Roman" w:hAnsi="Times New Roman"/>
                <w:sz w:val="18"/>
                <w:szCs w:val="18"/>
                <w:lang w:eastAsia="ru-RU"/>
              </w:rPr>
              <w:t xml:space="preserve"> NFFE) относятся:</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Исключенные нефинансовые организации для целей FATCA (NFFE), имеющие статус квалифицированного посредника, либо статус иностранного для целей FATCA партнерства или траста, признаваемых налоговыми агентами (Qualified Intermediary, Withholding foreign partnership, Withholding foreign trust)</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Компания, акции которой регулярно обращаются на одном или более организованных рынках ценных бумаг  (Publicly Traded Corporation)</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Компания является членом расширенной аффилированной группы, в которую входит организация, акции которой регулярно обращаются на одном или более организованных рынках ценных бумаг (Certain affiliated entities related to a publicly traded corporation)</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Определенные территориальные организации (Certain territory entities) - организации прямо или косвенно полностью принадлежат добросовестным резидентам территории США</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Нефинансовая организация, ведущая хозяйственную деятельность (Active NFFE) - менее 50 процентов валового дохода компании за предшествующих налоговый год (например, предыдущий календарный год или налоговый период, равный году) составляет пассивный доход (дивиденды, проценты, роялти и т.д.) и менее 50 процентов средневзвешенной доли активов, которыми компания владеет, составляют активы, которые приносят пассивный доход или были приобретены компанией для получения пассивного дохода</w:t>
            </w:r>
          </w:p>
          <w:p>
            <w:pPr>
              <w:pStyle w:val="Normal"/>
              <w:keepNext w:val="true"/>
              <w:numPr>
                <w:ilvl w:val="0"/>
                <w:numId w:val="1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Исключенные нефинансовые организации США (Excepted nonfinancial entity). К данной категории относятся холдинговые, казначейские и зависимые финансовые компании - члены нефинансовых групп; вновь создаваемые нефинансовые «стартап» компании и компании, запускающие новые бизнес-линии; организации в процессе ликвидации или банкротства; некоммерческие организации</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Компания, акции которой регулярно обращаются на организованном рынке ценных бумаг</w:t>
            </w:r>
          </w:p>
        </w:tc>
        <w:tc>
          <w:tcPr>
            <w:tcW w:w="7692" w:type="dxa"/>
            <w:tcBorders/>
          </w:tcPr>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Один или более классов акций корпорации, суммарно превышающих 50 процентов голосующих акций всех видов, котировались на организованном рынке ценных бумаг в течение года</w:t>
            </w:r>
          </w:p>
          <w:p>
            <w:pPr>
              <w:pStyle w:val="Normal"/>
              <w:keepNext w:val="true"/>
              <w:numPr>
                <w:ilvl w:val="0"/>
                <w:numId w:val="1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Торги по каждому классу акций осуществлялись в количестве, отличном от минимального в течение не менее 60 дней в году, предшествовавшем настоящему, и суммарное количество акций  каждого класса, оборачивающихся на бирже за данный год, составило не менее 10 процентов общего числа акций этого класса.</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Налогоплательщик США (</w:t>
            </w:r>
            <w:r>
              <w:rPr>
                <w:rFonts w:eastAsia="Times New Roman" w:cs="Calibri" w:ascii="Times New Roman" w:hAnsi="Times New Roman"/>
                <w:b/>
                <w:sz w:val="18"/>
                <w:szCs w:val="18"/>
                <w:lang w:val="en-US" w:eastAsia="ru-RU"/>
              </w:rPr>
              <w:t>US</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person</w:t>
            </w:r>
            <w:r>
              <w:rPr>
                <w:rFonts w:eastAsia="Times New Roman" w:cs="Calibri" w:ascii="Times New Roman" w:hAnsi="Times New Roman"/>
                <w:b/>
                <w:sz w:val="18"/>
                <w:szCs w:val="18"/>
                <w:lang w:eastAsia="ru-RU"/>
              </w:rPr>
              <w:t>) физическое лицо</w:t>
            </w:r>
          </w:p>
        </w:tc>
        <w:tc>
          <w:tcPr>
            <w:tcW w:w="7692" w:type="dxa"/>
            <w:tcBorders/>
          </w:tcPr>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 термином «Налогоплательщик США» понимается гражданин или налоговый резидент США. Концепция налогового резидентства, установленная законодательством США, является сложной, и, соответственно, может неправильно трактоваться.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 общему правилу, Вы можете быть признаны налоговым резидентом США, если: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1) Вы родились в США; ИЛИ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2) Вы являетесь гражданином США или у вас есть «грин карта» США; ИЛИ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3) Вы отвечаете критерию существенного присутствия. Для того, чтобы отвечать этому критерию, Вы должны физически находиться в США по крайней мере:</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i. 31 день в течение текущего года, 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ii. 183 дня в течение трехлетнего периода, который включает текущий год и два непосредственно предшествующих года, включая в расчет, что:</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1. Все дни, в течение которых Вы находились в США в течение текущего года; 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2. 1/3 дней, в течение которых Вы находились в США в течение первого года, предшествующего текущему году; И</w:t>
            </w:r>
          </w:p>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3. 1/6 дней, в течение которых Вы находились в США в течение второго года, предшествующего текущему году.</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Налогоплательщик США юридическое лицо (</w:t>
            </w:r>
            <w:r>
              <w:rPr>
                <w:rFonts w:eastAsia="Times New Roman" w:cs="Calibri" w:ascii="Times New Roman" w:hAnsi="Times New Roman"/>
                <w:b/>
                <w:sz w:val="18"/>
                <w:szCs w:val="18"/>
                <w:lang w:val="en-US" w:eastAsia="ru-RU"/>
              </w:rPr>
              <w:t>US</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person</w:t>
            </w:r>
            <w:r>
              <w:rPr>
                <w:rFonts w:eastAsia="Times New Roman" w:cs="Calibri" w:ascii="Times New Roman" w:hAnsi="Times New Roman"/>
                <w:b/>
                <w:sz w:val="18"/>
                <w:szCs w:val="18"/>
                <w:lang w:eastAsia="ru-RU"/>
              </w:rPr>
              <w:t>)</w:t>
            </w:r>
          </w:p>
        </w:tc>
        <w:tc>
          <w:tcPr>
            <w:tcW w:w="7692" w:type="dxa"/>
            <w:tcBorders/>
          </w:tcPr>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 термином "Налогоплательщик США" понимается:</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юридическое лицо или налоговый резидент США; </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филиалы иностранных юридических лиц в США;</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американское товарищество; </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американская корпорация; </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любое имущество (с некоторыми исключениями), управляющим которого является налогоплательщик США и</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любой траст в том случае, если (i) американский суд может осуществлять первичный надзор за деятельностью траста и (ii) один или несколько налогоплательщиков США имеют право контролировать все существенные решения траста;</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правительство США (в том числе правительственные агентства и ведомства);</w:t>
            </w:r>
          </w:p>
          <w:p>
            <w:pPr>
              <w:pStyle w:val="Normal"/>
              <w:keepNext w:val="true"/>
              <w:numPr>
                <w:ilvl w:val="0"/>
                <w:numId w:val="1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любой штат США или округ Колумбия (включая их агентства и ведомства).</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 xml:space="preserve">Налогоплательщик США, исключенный для целей </w:t>
            </w:r>
            <w:r>
              <w:rPr>
                <w:rFonts w:eastAsia="Times New Roman" w:cs="Calibri" w:ascii="Times New Roman" w:hAnsi="Times New Roman"/>
                <w:b/>
                <w:sz w:val="18"/>
                <w:szCs w:val="18"/>
                <w:lang w:val="en-US" w:eastAsia="ru-RU"/>
              </w:rPr>
              <w:t>FATCA</w:t>
            </w:r>
            <w:r>
              <w:rPr>
                <w:rFonts w:eastAsia="Times New Roman" w:cs="Calibri" w:ascii="Times New Roman" w:hAnsi="Times New Roman"/>
                <w:b/>
                <w:sz w:val="18"/>
                <w:szCs w:val="18"/>
                <w:lang w:eastAsia="ru-RU"/>
              </w:rPr>
              <w:t xml:space="preserve"> (Not a Specified U.S. Person)</w:t>
            </w:r>
          </w:p>
        </w:tc>
        <w:tc>
          <w:tcPr>
            <w:tcW w:w="7692" w:type="dxa"/>
            <w:tcBorders/>
          </w:tcPr>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Юридическое лицо, исключенное для целей FATCA («Not a Specified U.S. Person»). Данное понятие включает следующие виды организаций:</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Организация, акции которой регулярно обращаются на одном или более организованных рынках ценных бумаг;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Аффилированное лицо организации, акции которой регулярно обращаются на организованном рынке ценных бумаг;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Организация, определенная в секции 501(a) Налогового кодекса США (некоммерческая организация) или индивидуальный пенсионный план, определенный в секции 7701(a)(37) Налогового кодекса США;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Правительство США или любое полностью принадлежащее ему агентство или ведомство;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Штат США, округ Колумбия, любая территория США, любая административно-территориальная единица, находящаяся под управлением вышеупомянутых образований США, или любое полностью принадлежащее вышеупомянутым образованиям США агентство или ведомство;</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Банк, определенный в секции 581 Налогового кодекса США;</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Трастовый фонд, инвестирующий в недвижимость, определенный в секции 856 Налогового кодекса США;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Регулируемая инвестиционная компания, определенная в секции 851 Налогового кодекса США, или любая организация, зарегистрированная в Комиссии по ценным бумагам и биржам США в соответствии с Законом об инвестиционных компаниях 1940 (15 U.S.C. 80a-64);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Простой трастовый фонд, определенный в секции 584(а) Налогового кодекса США;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Трастовый фонд, освобожденный от налогообложения в соответствии с секцией 664(с) Налогового кодекса США, либо указанный в секции 4947(а)(1) Налогового кодекса США;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Организация, учрежденная в соответствии с законодательством США, имеющая статус дилера в отношении операций с ценными бумагами, товарами, деривативами; </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имеющая статус брокера;</w:t>
            </w:r>
          </w:p>
          <w:p>
            <w:pPr>
              <w:pStyle w:val="Normal"/>
              <w:keepNext w:val="true"/>
              <w:numPr>
                <w:ilvl w:val="0"/>
                <w:numId w:val="1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Любые освобожденные от налогообложения трасты в соответствии с планом, определенным в соответствии с секцией 403(b) и секцией 457(g).</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Некоммерческие организации (Non-profit organizations)</w:t>
            </w:r>
          </w:p>
        </w:tc>
        <w:tc>
          <w:tcPr>
            <w:tcW w:w="7692" w:type="dxa"/>
            <w:tcBorders/>
          </w:tcPr>
          <w:p>
            <w:pPr>
              <w:pStyle w:val="Normal"/>
              <w:keepNext w:val="true"/>
              <w:tabs>
                <w:tab w:val="clear" w:pos="708"/>
                <w:tab w:val="left" w:pos="0" w:leader="none"/>
              </w:tabs>
              <w:spacing w:before="0" w:after="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Иностранная организация (по FATCA учреждена за пределами США), образованная и действующая в стране своего резиденства исключительно в религиозных, благотворительных, научных, художественных, культурных или обучающих целях, при условии, что такая организация:</w:t>
            </w:r>
          </w:p>
          <w:p>
            <w:pPr>
              <w:pStyle w:val="Normal"/>
              <w:keepNext w:val="true"/>
              <w:numPr>
                <w:ilvl w:val="0"/>
                <w:numId w:val="1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Освобождена от налога на прибыль в стране своего резиденства;</w:t>
            </w:r>
          </w:p>
          <w:p>
            <w:pPr>
              <w:pStyle w:val="Normal"/>
              <w:keepNext w:val="true"/>
              <w:numPr>
                <w:ilvl w:val="0"/>
                <w:numId w:val="1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Не имеет акционеров или членов, которые получают доход от ее деятельности или ее активов;</w:t>
            </w:r>
          </w:p>
          <w:p>
            <w:pPr>
              <w:pStyle w:val="Normal"/>
              <w:keepNext w:val="true"/>
              <w:numPr>
                <w:ilvl w:val="0"/>
                <w:numId w:val="1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Не имеет право в соответствии с учредительными документами и по закону страны своего резиденства, распределять или выплачивать доходы физическим и юридическим лицам, не являющимся благотворительной организацией и не в рамках своей благотворительной деятельности, как оплату за оказанные услуги, предоставленные/ приобретенные активы, при условии, что такие расходы осуществлялись на рыночных условиях; и </w:t>
            </w:r>
          </w:p>
          <w:p>
            <w:pPr>
              <w:pStyle w:val="Normal"/>
              <w:keepNext w:val="true"/>
              <w:numPr>
                <w:ilvl w:val="0"/>
                <w:numId w:val="1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При ликвидации и прекращении деятельности, в соответствии с учредительными документами и по закону страны своего резиденства, все активы организации подлежат распределению в пользу правительства, правительственной организации и иным образованиям, полностью принадлежащим правительству, или иным организациям, удовлетворяющим определению некоммерческой организации, или подлежат конфискации с собственность государства, или государственного формирования.</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Определенный налогоплательщик США (Specified U.S. Person)</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Любой налогоплательщик США, не подпадающий под исключения, указанные в определении «Налогоплательщик США, исключенный для целей </w:t>
            </w:r>
            <w:r>
              <w:rPr>
                <w:rFonts w:eastAsia="Times New Roman" w:cs="Calibri" w:ascii="Times New Roman" w:hAnsi="Times New Roman"/>
                <w:sz w:val="18"/>
                <w:szCs w:val="18"/>
                <w:lang w:val="en-US" w:eastAsia="ru-RU"/>
              </w:rPr>
              <w:t>FATCA</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Not</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a</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Specified</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U</w:t>
            </w:r>
            <w:r>
              <w:rPr>
                <w:rFonts w:eastAsia="Times New Roman" w:cs="Calibri" w:ascii="Times New Roman" w:hAnsi="Times New Roman"/>
                <w:sz w:val="18"/>
                <w:szCs w:val="18"/>
                <w:lang w:eastAsia="ru-RU"/>
              </w:rPr>
              <w:t>.</w:t>
            </w:r>
            <w:r>
              <w:rPr>
                <w:rFonts w:eastAsia="Times New Roman" w:cs="Calibri" w:ascii="Times New Roman" w:hAnsi="Times New Roman"/>
                <w:sz w:val="18"/>
                <w:szCs w:val="18"/>
                <w:lang w:val="en-US" w:eastAsia="ru-RU"/>
              </w:rPr>
              <w:t>S</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Person</w:t>
            </w:r>
            <w:r>
              <w:rPr>
                <w:rFonts w:eastAsia="Times New Roman" w:cs="Calibri" w:ascii="Times New Roman" w:hAnsi="Times New Roman"/>
                <w:sz w:val="18"/>
                <w:szCs w:val="18"/>
                <w:lang w:eastAsia="ru-RU"/>
              </w:rPr>
              <w:t>)».</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eastAsia="ru-RU"/>
              </w:rPr>
              <w:t>Организации</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в</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процессе</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ликвидации</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или</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банкротства</w:t>
            </w:r>
            <w:r>
              <w:rPr>
                <w:rFonts w:eastAsia="Times New Roman" w:cs="Calibri" w:ascii="Times New Roman" w:hAnsi="Times New Roman"/>
                <w:b/>
                <w:sz w:val="18"/>
                <w:szCs w:val="18"/>
                <w:lang w:val="en-US" w:eastAsia="ru-RU"/>
              </w:rPr>
              <w:t xml:space="preserve"> (Excepted nonfinancial entities in liquidation or bankruptcy)</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Иностранная компания (по FATCA учреждена за пределами США), которая не являлась финансовым институтом или пассивной нефинансовой организацией в течение последних пяти лет и ликвидируется или проходит реорганизацию с целью продолжения или возобновления своей деятельности в качестве нефинансовой организации.</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Организация, определенная в секции 501(</w:t>
            </w:r>
            <w:r>
              <w:rPr>
                <w:rFonts w:eastAsia="Times New Roman" w:cs="Calibri" w:ascii="Times New Roman" w:hAnsi="Times New Roman"/>
                <w:b/>
                <w:sz w:val="18"/>
                <w:szCs w:val="18"/>
                <w:lang w:val="en-US" w:eastAsia="ru-RU"/>
              </w:rPr>
              <w:t>c</w:t>
            </w:r>
            <w:r>
              <w:rPr>
                <w:rFonts w:eastAsia="Times New Roman" w:cs="Calibri" w:ascii="Times New Roman" w:hAnsi="Times New Roman"/>
                <w:b/>
                <w:sz w:val="18"/>
                <w:szCs w:val="18"/>
                <w:lang w:eastAsia="ru-RU"/>
              </w:rPr>
              <w:t xml:space="preserve">) Налогового кодекса США (Section 501(c) entities </w:t>
            </w:r>
            <w:r>
              <w:rPr>
                <w:rFonts w:eastAsia="Times New Roman" w:cs="Calibri" w:ascii="Times New Roman" w:hAnsi="Times New Roman"/>
                <w:b/>
                <w:sz w:val="18"/>
                <w:szCs w:val="18"/>
                <w:lang w:val="en-US" w:eastAsia="ru-RU"/>
              </w:rPr>
              <w:t>of</w:t>
            </w:r>
            <w:r>
              <w:rPr>
                <w:rFonts w:eastAsia="Times New Roman" w:cs="Calibri" w:ascii="Times New Roman" w:hAnsi="Times New Roman"/>
                <w:b/>
                <w:sz w:val="18"/>
                <w:szCs w:val="18"/>
                <w:lang w:eastAsia="ru-RU"/>
              </w:rPr>
              <w:t xml:space="preserve"> US Internal Revenue Code) </w:t>
            </w:r>
          </w:p>
        </w:tc>
        <w:tc>
          <w:tcPr>
            <w:tcW w:w="7692" w:type="dxa"/>
            <w:tcBorders/>
            <w:shd w:color="auto" w:fill="auto" w:val="clear"/>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указанная в секции 501 (с) Налогового кодекса США, за исключением страховой организации, указанной в секции 501(c)(15), которая предоставила:</w:t>
            </w:r>
          </w:p>
          <w:p>
            <w:pPr>
              <w:pStyle w:val="Normal"/>
              <w:keepNext w:val="true"/>
              <w:numPr>
                <w:ilvl w:val="0"/>
                <w:numId w:val="15"/>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подтверждение, что Налоговая служба США (IRS) выпустила письмо с подтверждением, что организация относится к организациям, определенным в секции 501(a) Налогового кодекса США и указала дату такого письма, ИЛИ</w:t>
            </w:r>
          </w:p>
          <w:p>
            <w:pPr>
              <w:pStyle w:val="Normal"/>
              <w:keepNext w:val="true"/>
              <w:numPr>
                <w:ilvl w:val="0"/>
                <w:numId w:val="15"/>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предоставила копию заключения юриста США, подтверждающего что организация относится к организациям, определенным в секции 501(a) Налогового кодекса США</w:t>
            </w:r>
          </w:p>
          <w:p>
            <w:pPr>
              <w:pStyle w:val="Normal"/>
              <w:keepNext w:val="true"/>
              <w:numPr>
                <w:ilvl w:val="0"/>
                <w:numId w:val="15"/>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подтверждение, что статус организации не был отозван.</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Организованный рынок ценных бумаг (Established securities market)</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Организованный рынок ценных бумаг, в целях FATCA, определяется как: </w:t>
            </w:r>
          </w:p>
          <w:p>
            <w:pPr>
              <w:pStyle w:val="Normal"/>
              <w:keepNext w:val="true"/>
              <w:numPr>
                <w:ilvl w:val="0"/>
                <w:numId w:val="1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иностранная фондовая биржа, официально признанная, санкционированная, или контролируемая иностранным государственным органом страны нахождения (по FATCA не США), рынка ценных бумаг, и ежегодный объем торгов акциями на бирже (или ее предшественнике), превышает 1 млрд долларов США в течение каждого из трех календарных лет, непосредственно предшествующих календарному году, в котором производится определение;</w:t>
            </w:r>
          </w:p>
          <w:p>
            <w:pPr>
              <w:pStyle w:val="Normal"/>
              <w:keepNext w:val="true"/>
              <w:numPr>
                <w:ilvl w:val="0"/>
                <w:numId w:val="1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национальная фондовая биржа, зарегистрированная в соответствии с секцией 6 Акта о фондовой бирже от 1934 (15 USC 78F) Комиссии по ценным бумагам и биржам; </w:t>
            </w:r>
          </w:p>
          <w:p>
            <w:pPr>
              <w:pStyle w:val="Normal"/>
              <w:keepNext w:val="true"/>
              <w:numPr>
                <w:ilvl w:val="0"/>
                <w:numId w:val="1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любая биржа, поименованная в статье Ограничение льгот в соответствии с действующим договором об избежании двойного налогообложения с США; или </w:t>
            </w:r>
          </w:p>
          <w:p>
            <w:pPr>
              <w:pStyle w:val="Normal"/>
              <w:keepNext w:val="true"/>
              <w:numPr>
                <w:ilvl w:val="0"/>
                <w:numId w:val="1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любая иная биржа, которая может быть назначена Государственным секретарем в опубликованном им руководстве.</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Основной вид деятельности организации</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pPr>
              <w:pStyle w:val="Normal"/>
              <w:keepNext w:val="true"/>
              <w:numPr>
                <w:ilvl w:val="0"/>
                <w:numId w:val="1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pPr>
              <w:pStyle w:val="Normal"/>
              <w:keepNext w:val="true"/>
              <w:numPr>
                <w:ilvl w:val="0"/>
                <w:numId w:val="17"/>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периода существования организации.</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Освобожденные бенефициарные владельцы (в соответствии с положениями FATCA и межправительственных соглашений по Модели 1,2) (Exempt beneficial owners)</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lang w:val="en-US"/>
              </w:rPr>
            </w:pPr>
            <w:r>
              <w:rPr>
                <w:rFonts w:eastAsia="Times New Roman" w:cs="Calibri" w:ascii="Times New Roman" w:hAnsi="Times New Roman"/>
                <w:sz w:val="18"/>
                <w:szCs w:val="18"/>
                <w:lang w:eastAsia="ru-RU"/>
              </w:rPr>
              <w:t>Организации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включая</w:t>
            </w:r>
            <w:r>
              <w:rPr>
                <w:rFonts w:eastAsia="Times New Roman" w:cs="Calibri" w:ascii="Times New Roman" w:hAnsi="Times New Roman"/>
                <w:sz w:val="18"/>
                <w:szCs w:val="18"/>
                <w:lang w:val="en-US" w:eastAsia="ru-RU"/>
              </w:rPr>
              <w:t>:</w:t>
            </w:r>
          </w:p>
          <w:p>
            <w:pPr>
              <w:pStyle w:val="Normal"/>
              <w:keepNext w:val="true"/>
              <w:numPr>
                <w:ilvl w:val="0"/>
                <w:numId w:val="18"/>
              </w:numPr>
              <w:tabs>
                <w:tab w:val="clear" w:pos="708"/>
                <w:tab w:val="left" w:pos="0" w:leader="none"/>
              </w:tabs>
              <w:spacing w:lineRule="auto" w:line="240" w:before="0" w:after="0"/>
              <w:rPr>
                <w:rFonts w:ascii="Times New Roman" w:hAnsi="Times New Roman" w:eastAsia="Times New Roman"/>
                <w:sz w:val="18"/>
                <w:szCs w:val="18"/>
                <w:lang w:val="en-US"/>
              </w:rPr>
            </w:pPr>
            <w:r>
              <w:rPr>
                <w:rFonts w:eastAsia="Times New Roman" w:cs="Calibri" w:ascii="Times New Roman" w:hAnsi="Times New Roman"/>
                <w:sz w:val="18"/>
                <w:szCs w:val="18"/>
                <w:lang w:eastAsia="ru-RU"/>
              </w:rPr>
              <w:t>Органы</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власти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правительственные</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учреждения</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либо</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организации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полностью</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принадлежащие</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последним</w:t>
            </w:r>
            <w:r>
              <w:rPr>
                <w:rFonts w:eastAsia="Times New Roman" w:cs="Calibri" w:ascii="Times New Roman" w:hAnsi="Times New Roman"/>
                <w:sz w:val="18"/>
                <w:szCs w:val="18"/>
                <w:lang w:val="en-US" w:eastAsia="ru-RU"/>
              </w:rPr>
              <w:t xml:space="preserve"> (Foreign government, any political subdivision of a foreign government, or any wholly owned agency or instrumentality in any one or more of the foregoing); </w:t>
            </w:r>
          </w:p>
          <w:p>
            <w:pPr>
              <w:pStyle w:val="Normal"/>
              <w:keepNext w:val="true"/>
              <w:numPr>
                <w:ilvl w:val="0"/>
                <w:numId w:val="18"/>
              </w:numPr>
              <w:tabs>
                <w:tab w:val="clear" w:pos="708"/>
                <w:tab w:val="left" w:pos="0" w:leader="none"/>
              </w:tabs>
              <w:spacing w:lineRule="auto" w:line="240" w:before="0" w:after="0"/>
              <w:rPr>
                <w:rFonts w:ascii="Times New Roman" w:hAnsi="Times New Roman" w:eastAsia="Times New Roman"/>
                <w:sz w:val="18"/>
                <w:szCs w:val="18"/>
                <w:lang w:val="en-US"/>
              </w:rPr>
            </w:pPr>
            <w:r>
              <w:rPr>
                <w:rFonts w:eastAsia="Times New Roman" w:cs="Calibri" w:ascii="Times New Roman" w:hAnsi="Times New Roman"/>
                <w:sz w:val="18"/>
                <w:szCs w:val="18"/>
                <w:lang w:eastAsia="ru-RU"/>
              </w:rPr>
              <w:t>Международные</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организации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либо</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организации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полностью</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принадлежащие</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последним</w:t>
            </w:r>
            <w:r>
              <w:rPr>
                <w:rFonts w:eastAsia="Times New Roman" w:cs="Calibri" w:ascii="Times New Roman" w:hAnsi="Times New Roman"/>
                <w:sz w:val="18"/>
                <w:szCs w:val="18"/>
                <w:lang w:val="en-US" w:eastAsia="ru-RU"/>
              </w:rPr>
              <w:t xml:space="preserve"> (International organization or any wholly owned agency or instrumentality thereof);</w:t>
            </w:r>
          </w:p>
          <w:p>
            <w:pPr>
              <w:pStyle w:val="Normal"/>
              <w:keepNext w:val="true"/>
              <w:numPr>
                <w:ilvl w:val="0"/>
                <w:numId w:val="1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Центральные банки и эмиссионные банки (в том числе, Центральный банк Российской Федерации), предоставившие подтверждение, что организация получает доход НЕ в связи с осуществлением коммерческой деятельности (Foreign central bank); </w:t>
            </w:r>
          </w:p>
          <w:p>
            <w:pPr>
              <w:pStyle w:val="Normal"/>
              <w:keepNext w:val="true"/>
              <w:numPr>
                <w:ilvl w:val="0"/>
                <w:numId w:val="18"/>
              </w:numPr>
              <w:tabs>
                <w:tab w:val="clear" w:pos="708"/>
                <w:tab w:val="left" w:pos="0" w:leader="none"/>
              </w:tabs>
              <w:spacing w:lineRule="auto" w:line="240" w:before="0" w:after="0"/>
              <w:rPr>
                <w:rFonts w:ascii="Times New Roman" w:hAnsi="Times New Roman" w:eastAsia="Times New Roman"/>
                <w:sz w:val="18"/>
                <w:szCs w:val="18"/>
                <w:lang w:val="en-US"/>
              </w:rPr>
            </w:pPr>
            <w:r>
              <w:rPr>
                <w:rFonts w:eastAsia="Times New Roman" w:cs="Calibri" w:ascii="Times New Roman" w:hAnsi="Times New Roman"/>
                <w:sz w:val="18"/>
                <w:szCs w:val="18"/>
                <w:lang w:eastAsia="ru-RU"/>
              </w:rPr>
              <w:t>Органы</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власти</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территорий</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США</w:t>
            </w:r>
            <w:r>
              <w:rPr>
                <w:rFonts w:eastAsia="Times New Roman" w:cs="Calibri" w:ascii="Times New Roman" w:hAnsi="Times New Roman"/>
                <w:sz w:val="18"/>
                <w:szCs w:val="18"/>
                <w:lang w:val="en-US" w:eastAsia="ru-RU"/>
              </w:rPr>
              <w:t xml:space="preserve"> (Government of a U.S. territory);</w:t>
            </w:r>
          </w:p>
          <w:p>
            <w:pPr>
              <w:pStyle w:val="Normal"/>
              <w:keepNext w:val="true"/>
              <w:numPr>
                <w:ilvl w:val="0"/>
                <w:numId w:val="18"/>
              </w:numPr>
              <w:tabs>
                <w:tab w:val="clear" w:pos="708"/>
                <w:tab w:val="left" w:pos="0" w:leader="none"/>
              </w:tabs>
              <w:spacing w:lineRule="auto" w:line="240" w:before="0" w:after="0"/>
              <w:rPr>
                <w:rFonts w:ascii="Times New Roman" w:hAnsi="Times New Roman" w:eastAsia="Times New Roman"/>
                <w:sz w:val="18"/>
                <w:szCs w:val="18"/>
                <w:lang w:val="en-US"/>
              </w:rPr>
            </w:pPr>
            <w:r>
              <w:rPr>
                <w:rFonts w:eastAsia="Times New Roman" w:cs="Calibri" w:ascii="Times New Roman" w:hAnsi="Times New Roman"/>
                <w:sz w:val="18"/>
                <w:szCs w:val="18"/>
                <w:lang w:eastAsia="ru-RU"/>
              </w:rPr>
              <w:t>Отдельные</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виды</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пенсионных</w:t>
            </w:r>
            <w:r>
              <w:rPr>
                <w:rFonts w:eastAsia="Times New Roman" w:cs="Calibri" w:ascii="Times New Roman" w:hAnsi="Times New Roman"/>
                <w:sz w:val="18"/>
                <w:szCs w:val="18"/>
                <w:lang w:val="en-US" w:eastAsia="ru-RU"/>
              </w:rPr>
              <w:t xml:space="preserve"> </w:t>
            </w:r>
            <w:r>
              <w:rPr>
                <w:rFonts w:eastAsia="Times New Roman" w:cs="Calibri" w:ascii="Times New Roman" w:hAnsi="Times New Roman"/>
                <w:sz w:val="18"/>
                <w:szCs w:val="18"/>
                <w:lang w:eastAsia="ru-RU"/>
              </w:rPr>
              <w:t>фондов</w:t>
            </w:r>
            <w:r>
              <w:rPr>
                <w:rFonts w:eastAsia="Times New Roman" w:cs="Calibri" w:ascii="Times New Roman" w:hAnsi="Times New Roman"/>
                <w:sz w:val="18"/>
                <w:szCs w:val="18"/>
                <w:lang w:val="en-US" w:eastAsia="ru-RU"/>
              </w:rPr>
              <w:t xml:space="preserve"> (Foreign exempt retirement funds):</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Пенсионные фонды, имеющие льготы в соответствии с соглашением о налогообложении (</w:t>
            </w:r>
            <w:r>
              <w:rPr>
                <w:rFonts w:eastAsia="Times New Roman" w:cs="Calibri" w:ascii="Times New Roman" w:hAnsi="Times New Roman"/>
                <w:sz w:val="18"/>
                <w:szCs w:val="18"/>
                <w:lang w:val="en-US" w:eastAsia="ru-RU"/>
              </w:rPr>
              <w:t>Treaty</w:t>
            </w:r>
            <w:r>
              <w:rPr>
                <w:rFonts w:eastAsia="Times New Roman" w:cs="Calibri" w:ascii="Times New Roman" w:hAnsi="Times New Roman"/>
                <w:sz w:val="18"/>
                <w:szCs w:val="18"/>
                <w:lang w:eastAsia="ru-RU"/>
              </w:rPr>
              <w:t>-</w:t>
            </w:r>
            <w:r>
              <w:rPr>
                <w:rFonts w:eastAsia="Times New Roman" w:cs="Calibri" w:ascii="Times New Roman" w:hAnsi="Times New Roman"/>
                <w:sz w:val="18"/>
                <w:szCs w:val="18"/>
                <w:lang w:val="en-US" w:eastAsia="ru-RU"/>
              </w:rPr>
              <w:t>qualified</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retirement</w:t>
            </w:r>
            <w:r>
              <w:rPr>
                <w:rFonts w:eastAsia="Times New Roman" w:cs="Calibri" w:ascii="Times New Roman" w:hAnsi="Times New Roman"/>
                <w:sz w:val="18"/>
                <w:szCs w:val="18"/>
                <w:lang w:eastAsia="ru-RU"/>
              </w:rPr>
              <w:t xml:space="preserve"> </w:t>
            </w:r>
            <w:r>
              <w:rPr>
                <w:rFonts w:eastAsia="Times New Roman" w:cs="Calibri" w:ascii="Times New Roman" w:hAnsi="Times New Roman"/>
                <w:sz w:val="18"/>
                <w:szCs w:val="18"/>
                <w:lang w:val="en-US" w:eastAsia="ru-RU"/>
              </w:rPr>
              <w:t>fund</w:t>
            </w:r>
            <w:r>
              <w:rPr>
                <w:rFonts w:eastAsia="Times New Roman" w:cs="Calibri" w:ascii="Times New Roman" w:hAnsi="Times New Roman"/>
                <w:sz w:val="18"/>
                <w:szCs w:val="18"/>
                <w:lang w:eastAsia="ru-RU"/>
              </w:rPr>
              <w:t>);</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Пенсионные фонды с открытым доступом, созданные одним или несколькими работодателями (Broad participation retirement fund), а также:</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(1) не имеющие выгодоприобретателей с долей активов фонда, превышающую пять процентов, </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(2) регулируются государством и ежегодно предоставляют отчетность о своих выгодоприобретателях в соответствующие налоговые органы, </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(3) и отвечающие одному из следующих условий:</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(а) как правило, освобождены от уплаты налога в стране учреждения,</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(б) не менее 50 % от всей суммы взносов фонда (за исключением перевода активов из других пенсионных фондов) приходятся на взносы работодателей</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(в) выплаты или изъятие средств из фонда разрешены только при наступлении событий, связанных с выходом на пенсию, инвалидностью или смертью (за исключением перевода средств в другие пенсионные фонды) или налагаются штрафы за выплаты или изъятие средств из фонда до наступления таких указанных событий; или</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(г) суммы взносов (за исключением прочих разрешенных взносов для пополнения счета) работников в фонд могут быть ограничены, исходя из суммы заработанного работником дохода, или не могут превышать ежегодно 50,000 долларов США с учетом правил агрегации счетов и пересчета сумм в другую валюту.</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Пенсионные фонды с ограниченным доступом (Narrow participation retirement fund), (1) созданные одним или несколькими работодателями, не являющимися инвестиционной организацией или пассивной нефинансовой организацией, (2) имеющие не более 50 участников, (3) взносы в которые формируются исключительно из доходов работодателя или компенсаций сотрудников, (4) участники фонда, не являющиеся резидентами страны регистрации фонда, имеют права на не более чем 20% активов фонда (5) регулируются государством и ежегодно предоставляют отчетность о своих выгодоприобретателях в соответствующие налоговые органы (6) фонд организован с целью предоставлять выплаты при наступлении событий, связанных с выходом на пенсию, инвалидностью или смертью текущих или бывших сотрудников; </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Фонд, сформированный в соответствии с планом аналогичному секции 401(а) план Налогового кодекса США (Fund formed pursuant to a plan similar to a section 401(a) plan);</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Инвестиционные структуры, образованные исключительно пенсионными фондами, указанными выше, и для получения доходов от инвестирования средств пенсионных фондов (Investment vehicles exclusively for retirement funds);</w:t>
            </w:r>
          </w:p>
          <w:p>
            <w:pPr>
              <w:pStyle w:val="Normal"/>
              <w:keepNext w:val="true"/>
              <w:numPr>
                <w:ilvl w:val="0"/>
                <w:numId w:val="1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Пенсионные фонды, принадлежащие освобожденным бенефициарным владельцам (Pension fund of an exempt beneficial owner).</w:t>
            </w:r>
          </w:p>
          <w:p>
            <w:pPr>
              <w:pStyle w:val="Normal"/>
              <w:keepNext w:val="true"/>
              <w:numPr>
                <w:ilvl w:val="0"/>
                <w:numId w:val="2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Инвестиционная организация, полностью принадлежащая освобожденным бенефициарным владельцам (Entity wholly owned by exempt beneficial owners);</w:t>
            </w:r>
          </w:p>
          <w:p>
            <w:pPr>
              <w:pStyle w:val="Normal"/>
              <w:keepNext w:val="true"/>
              <w:numPr>
                <w:ilvl w:val="0"/>
                <w:numId w:val="20"/>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Иной финансовый институт, признанный освобожденным бенефициарным владельцем, в соответствии с Соглашением по Модели 1 и (или) Модели 2 (Exempt beneficial owner pursuant to a Model 1 IGA or Model 2 IGA).</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Исключение для коммерческой деятельности. Освобожденные бенефициарные владельцы, описанные в первых четырех пунктах выше, не будут признаваться освобожденными бенефициарными владельцами в отношении платежей, полученных от обязательств, связанных с коммерческой финансовой деятельностью, осуществляемой страховыми компаниями, депозитариями, организациями, привлекающими денежные средства во вклады, за исключением случаев, когда эмиссионные центральные банки осуществляют такую деятельность для или по указанию другого освобожденного бенефициарного владельца и такая деятельность соответствует целям деятельности такого банка. </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eastAsia="ru-RU"/>
              </w:rPr>
              <w:t>Пассивная</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нефинансовая</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организация</w:t>
            </w:r>
            <w:r>
              <w:rPr>
                <w:rFonts w:eastAsia="Times New Roman" w:cs="Calibri" w:ascii="Times New Roman" w:hAnsi="Times New Roman"/>
                <w:b/>
                <w:sz w:val="18"/>
                <w:szCs w:val="18"/>
                <w:lang w:val="en-US" w:eastAsia="ru-RU"/>
              </w:rPr>
              <w:t xml:space="preserve"> (Passive Non-financial Foreign Entity, Passive NFFE)</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Пассивная нефинансовая организация (по FATCA учреждена за пределами США), считается нефинансовой организацией, не относящаяся к категории Исключенных нефинансовых организаций.</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Пассивный доход (</w:t>
            </w:r>
            <w:r>
              <w:rPr>
                <w:rFonts w:eastAsia="Times New Roman" w:cs="Calibri" w:ascii="Times New Roman" w:hAnsi="Times New Roman"/>
                <w:b/>
                <w:sz w:val="18"/>
                <w:szCs w:val="18"/>
                <w:lang w:val="en-US" w:eastAsia="ru-RU"/>
              </w:rPr>
              <w:t>Passive</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Income</w:t>
            </w:r>
            <w:r>
              <w:rPr>
                <w:rFonts w:eastAsia="Times New Roman" w:cs="Calibri" w:ascii="Times New Roman" w:hAnsi="Times New Roman"/>
                <w:b/>
                <w:sz w:val="18"/>
                <w:szCs w:val="18"/>
                <w:lang w:eastAsia="ru-RU"/>
              </w:rPr>
              <w:t>)</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Доходы, включающиеся в определение «пассивный доход»:</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Дивиденды, включая доходы заменяющие дивиденды;</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Проценты, включая доход, приравниваемый к процентному доходу или получаемый по совокупности договоров страхования, если такой доход зависит от изменения таких договоров;</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Аренда и роялти (кроме доходов, полученных от активного вовлечения сотрудников компании);</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Аннуитетный доход;</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Прибыль, полученная от продажи или обмена активов, генерирующих вышеперечисленные виды пассивного дохода;</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Прибыль, полученная от операций с товарами, включая операции с фьючерсами, форвардами и другими аналогичными сделками;</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Прибыль, полученная от операций с иностранной валютой;</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Чистый доход от операций с беспоставочными свопами (notional principal contracts);</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Денежные суммы, полученные по договорам страхования жизни с наличной (денежной) стоимостью;</w:t>
            </w:r>
          </w:p>
          <w:p>
            <w:pPr>
              <w:pStyle w:val="Normal"/>
              <w:keepNext w:val="true"/>
              <w:numPr>
                <w:ilvl w:val="0"/>
                <w:numId w:val="21"/>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Денежные суммы, полученные страховой компанией в связи с инвестированием резервов по страховым и аннуитетным контрактам.</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Исключения (доходы не включаются в определение пассивного дохода):</w:t>
            </w:r>
          </w:p>
          <w:p>
            <w:pPr>
              <w:pStyle w:val="Normal"/>
              <w:keepNext w:val="true"/>
              <w:numPr>
                <w:ilvl w:val="0"/>
                <w:numId w:val="2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Доходы, выплаченные либо начисленные от связанного лица, которое в свою очередь оплачивает данные расходы за счет доходов, полученных от активной (операционной) деятельности;</w:t>
            </w:r>
          </w:p>
          <w:p>
            <w:pPr>
              <w:pStyle w:val="Normal"/>
              <w:keepNext w:val="true"/>
              <w:numPr>
                <w:ilvl w:val="0"/>
                <w:numId w:val="22"/>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Доходы компании, в случае если компания регулярно выступает дилером в отношении операций с активами, генерирующими пассивный доход, либо с форвардами, опционами и иными финансовыми инструментами (включая свопы)</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eastAsia="ru-RU"/>
              </w:rPr>
              <w:t>Связанная сторона</w:t>
            </w:r>
            <w:r>
              <w:rPr>
                <w:rFonts w:eastAsia="Times New Roman" w:cs="Calibri" w:ascii="Times New Roman" w:hAnsi="Times New Roman"/>
                <w:b/>
                <w:sz w:val="18"/>
                <w:szCs w:val="18"/>
                <w:lang w:val="en-US" w:eastAsia="ru-RU"/>
              </w:rPr>
              <w:t xml:space="preserve"> (Related party)</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Компания является связанной стороной по отношению к другой компании, партнерству, трасту и т.д. если одна компания контролирует другую компанию или две компании находятся под общим контролем. Для целей данного определения, под контролем следует понимать прямое или косвенное владение более 50% доли в компании (доля владения определяется на основании количества голосов или стоимости).</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Соглашение по Модели 1 или Модели 2 (</w:t>
            </w:r>
            <w:r>
              <w:rPr>
                <w:rFonts w:eastAsia="Times New Roman" w:cs="Calibri" w:ascii="Times New Roman" w:hAnsi="Times New Roman"/>
                <w:b/>
                <w:sz w:val="18"/>
                <w:szCs w:val="18"/>
                <w:lang w:val="en-US" w:eastAsia="ru-RU"/>
              </w:rPr>
              <w:t>IGA</w:t>
            </w:r>
            <w:r>
              <w:rPr>
                <w:rFonts w:eastAsia="Times New Roman" w:cs="Calibri" w:ascii="Times New Roman" w:hAnsi="Times New Roman"/>
                <w:b/>
                <w:sz w:val="18"/>
                <w:szCs w:val="18"/>
                <w:lang w:eastAsia="ru-RU"/>
              </w:rPr>
              <w:t>)</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Соглашение или договоренность между США и иностранным правительством (или одним или несколькими правительственными органами), заключенное с целью реализации и содействия в реализации FATCA. Существуют две модели такого соглашения: Соглашение по Модели 1 и Модели 2.</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Существенный собственник, являющийся налогоплательщиком США (</w:t>
            </w:r>
            <w:r>
              <w:rPr>
                <w:rFonts w:eastAsia="Times New Roman" w:cs="Calibri" w:ascii="Times New Roman" w:hAnsi="Times New Roman"/>
                <w:b/>
                <w:sz w:val="18"/>
                <w:szCs w:val="18"/>
                <w:lang w:val="en-US" w:eastAsia="ru-RU"/>
              </w:rPr>
              <w:t>Substantial</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US</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Owner</w:t>
            </w:r>
            <w:r>
              <w:rPr>
                <w:rFonts w:eastAsia="Times New Roman" w:cs="Calibri" w:ascii="Times New Roman" w:hAnsi="Times New Roman"/>
                <w:b/>
                <w:sz w:val="18"/>
                <w:szCs w:val="18"/>
                <w:lang w:eastAsia="ru-RU"/>
              </w:rPr>
              <w:t>)</w:t>
            </w:r>
          </w:p>
        </w:tc>
        <w:tc>
          <w:tcPr>
            <w:tcW w:w="7692" w:type="dxa"/>
            <w:tcBorders/>
          </w:tcPr>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Применительно к юридическому лицу – любой налогоплательщик США, который прямо или косвенно владеет не менее 10 %  акций такой корпорации (по праву голоса или по стоимости).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Применительно к иностранному товариществу (т.е. по FATCA учреждено за пределами США)  – любой налогоплательщик США, который прямо или косвенно владеет более 10 % совокупной доли прибыли или капитала такого товарищества.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В случае траста – любой налогоплательщик США, считающийся владельцем части такого фонда (согласно налоговому законодательству США), и любой налогоплательщик США, в прямом или косвенном владении которого находится более 10 % бенефициарной доли участия в таком доверительном фонде.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Косвенное владение. В случае если юридическое лицо принадлежит прямо или косвенно другому юридическому лицу, партнерству или трасту (за исключением Финансового института для целей закона </w:t>
            </w:r>
            <w:r>
              <w:rPr>
                <w:rFonts w:eastAsia="Times New Roman" w:cs="Calibri" w:ascii="Times New Roman" w:hAnsi="Times New Roman"/>
                <w:sz w:val="18"/>
                <w:szCs w:val="18"/>
                <w:lang w:val="en-US" w:eastAsia="ru-RU"/>
              </w:rPr>
              <w:t>FATCA</w:t>
            </w:r>
            <w:r>
              <w:rPr>
                <w:rFonts w:eastAsia="Times New Roman" w:cs="Calibri" w:ascii="Times New Roman" w:hAnsi="Times New Roman"/>
                <w:sz w:val="18"/>
                <w:szCs w:val="18"/>
                <w:lang w:eastAsia="ru-RU"/>
              </w:rPr>
              <w:t xml:space="preserve">, участвующего в применении FATCA, финансового института, признанного соблюдающим требования FATCA (за исключением Иностранных финансовых институтов, задокументированных владельцем), Финансовому институту США, Налогоплательщику США, исключенному для целей FATCA, Освобожденному бенефициарному владельцу или Исключенной нефинансовой организации США), то первое юридическое лицо будет принадлежать, соответственно, акционерам юридического лица –акционера, партнерам, бенефициарам траста.   </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Реализация прав владения посредством опциона. Если налогоплательщик США прямо или косвенно владеет или является держателем опциона на покупку акций в иностранной корпорации, на процентный доход или долю в иностранном партнерстве, на долю в иностранном трасте, то, в целях применения FATCA, такое лицо считается существенным собственником доли в основном капитале такой иностранной организации. Вышеуказанное так же справедливо в отношении владения опционом на приобретение опциона на приобретение прав владения или серии опционов.</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Определение пропорциональной доли владения. Определение доли владения иностранной корпорацией, партнерством или трастом основывается на всех уместных фактах и обстоятельствах. Все обстоятельства, которые могут искусственным образом занизить долю владения собственника, являющегося налогоплательщиком США, в иностранной организации не должны быть приняты во внимание при определении доли владения иностранной корпорацией, партнерством или трастом</w:t>
            </w:r>
          </w:p>
          <w:p>
            <w:pPr>
              <w:pStyle w:val="Normal"/>
              <w:keepNext w:val="true"/>
              <w:numPr>
                <w:ilvl w:val="0"/>
                <w:numId w:val="23"/>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При определении, является ли налогоплательщик США существенным собственником иностранной организации, следует агрегировать все права собственности в иностранной организации, прямо или косвенно принадлежащие родственным лицам. В целях данного расчета родственными лицами следует считать супругов, родителей, бабушек, дедушек, детей, внуков, а так же супругов всех вышеперечисленных.</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Применительно к </w:t>
            </w:r>
            <w:r>
              <w:rPr>
                <w:rFonts w:eastAsia="Times New Roman" w:cs="Calibri" w:ascii="Times New Roman" w:hAnsi="Times New Roman"/>
                <w:sz w:val="18"/>
                <w:szCs w:val="18"/>
                <w:lang w:val="en-US" w:eastAsia="ru-RU"/>
              </w:rPr>
              <w:t>FFI</w:t>
            </w:r>
            <w:r>
              <w:rPr>
                <w:rFonts w:eastAsia="Times New Roman" w:cs="Calibri" w:ascii="Times New Roman" w:hAnsi="Times New Roman"/>
                <w:sz w:val="18"/>
                <w:szCs w:val="18"/>
                <w:lang w:eastAsia="ru-RU"/>
              </w:rPr>
              <w:t>, задокументированных владельцем, собственник, являющийся налогоплательщиком США, определяется с любой долей участия (10%-ный порог отсутствует).</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Существенным собственником с точки зрения FATCA может являться как физическое так и юридическое лицо.</w:t>
            </w:r>
          </w:p>
        </w:tc>
      </w:tr>
      <w:tr>
        <w:trPr>
          <w:trHeight w:val="680" w:hRule="atLeast"/>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Территория США (</w:t>
            </w:r>
            <w:r>
              <w:rPr>
                <w:rFonts w:eastAsia="Times New Roman" w:cs="Calibri" w:ascii="Times New Roman" w:hAnsi="Times New Roman"/>
                <w:b/>
                <w:sz w:val="18"/>
                <w:szCs w:val="18"/>
                <w:lang w:val="en-US" w:eastAsia="ru-RU"/>
              </w:rPr>
              <w:t>US</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Territory</w:t>
            </w:r>
            <w:r>
              <w:rPr>
                <w:rFonts w:eastAsia="Times New Roman" w:cs="Calibri" w:ascii="Times New Roman" w:hAnsi="Times New Roman"/>
                <w:b/>
                <w:sz w:val="18"/>
                <w:szCs w:val="18"/>
                <w:lang w:eastAsia="ru-RU"/>
              </w:rPr>
              <w:t>)</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 территорией США и владениями США подразумеваются: территории Американского Самоа, Гуам, Северных Марианских островов, Пуэрто-Рико или Американских Виргинских островов</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Финансовые институты, учрежденные в соответствии с законодательством территорий США (Territory FFI)</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Финансовые институты, учрежденные в соответствии с законодательством территорий США (Territory FFI), предоставившие подтверждение, что они являются финансовым институтом, иным, чем инвестиционная организация, и организованы или учреждены в соответствии с законодательством территорий США.</w:t>
            </w:r>
          </w:p>
        </w:tc>
      </w:tr>
      <w:tr>
        <w:trPr/>
        <w:tc>
          <w:tcPr>
            <w:tcW w:w="2228" w:type="dxa"/>
            <w:tcBorders/>
          </w:tcPr>
          <w:p>
            <w:pPr>
              <w:pStyle w:val="Normal"/>
              <w:keepNext w:val="true"/>
              <w:tabs>
                <w:tab w:val="clear" w:pos="708"/>
                <w:tab w:val="left" w:pos="0" w:leader="none"/>
              </w:tabs>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Финансовый институт,</w:t>
            </w:r>
          </w:p>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eastAsia="ru-RU"/>
              </w:rPr>
              <w:t>не</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участвующий</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в</w:t>
            </w:r>
            <w:r>
              <w:rPr>
                <w:rFonts w:eastAsia="Times New Roman" w:cs="Calibri" w:ascii="Times New Roman" w:hAnsi="Times New Roman"/>
                <w:b/>
                <w:sz w:val="18"/>
                <w:szCs w:val="18"/>
                <w:lang w:val="en-US" w:eastAsia="ru-RU"/>
              </w:rPr>
              <w:t xml:space="preserve"> </w:t>
            </w:r>
            <w:r>
              <w:rPr>
                <w:rFonts w:eastAsia="Times New Roman" w:cs="Calibri" w:ascii="Times New Roman" w:hAnsi="Times New Roman"/>
                <w:b/>
                <w:sz w:val="18"/>
                <w:szCs w:val="18"/>
                <w:lang w:eastAsia="ru-RU"/>
              </w:rPr>
              <w:t>применении</w:t>
            </w:r>
            <w:r>
              <w:rPr>
                <w:rFonts w:eastAsia="Times New Roman" w:cs="Calibri" w:ascii="Times New Roman" w:hAnsi="Times New Roman"/>
                <w:b/>
                <w:sz w:val="18"/>
                <w:szCs w:val="18"/>
                <w:lang w:val="en-US" w:eastAsia="ru-RU"/>
              </w:rPr>
              <w:t xml:space="preserve"> FATCA (Non-participating Foreign Financial Institution, NPFFI)</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Финансовый институт для целей закона </w:t>
            </w:r>
            <w:r>
              <w:rPr>
                <w:rFonts w:eastAsia="Times New Roman" w:cs="Calibri" w:ascii="Times New Roman" w:hAnsi="Times New Roman"/>
                <w:sz w:val="18"/>
                <w:szCs w:val="18"/>
                <w:lang w:val="en-US" w:eastAsia="ru-RU"/>
              </w:rPr>
              <w:t>FATCA</w:t>
            </w:r>
            <w:r>
              <w:rPr>
                <w:rFonts w:eastAsia="Times New Roman" w:cs="Calibri" w:ascii="Times New Roman" w:hAnsi="Times New Roman"/>
                <w:sz w:val="18"/>
                <w:szCs w:val="18"/>
                <w:lang w:eastAsia="ru-RU"/>
              </w:rPr>
              <w:t xml:space="preserve"> (по FATCA учрежден за пределами США), который не является ни участвующим FFI в применении FATCA, ни FFI, признанным соблюдающим требования FATCA, ни выгодоприобретателем, освобожденным от налогообложения.</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 xml:space="preserve">Финансовый институт для целей закона </w:t>
            </w:r>
            <w:r>
              <w:rPr>
                <w:rFonts w:eastAsia="Times New Roman" w:cs="Calibri" w:ascii="Times New Roman" w:hAnsi="Times New Roman"/>
                <w:b/>
                <w:sz w:val="18"/>
                <w:szCs w:val="18"/>
                <w:lang w:val="en-US" w:eastAsia="ru-RU"/>
              </w:rPr>
              <w:t xml:space="preserve">FATCA </w:t>
            </w:r>
            <w:r>
              <w:rPr>
                <w:rFonts w:eastAsia="Times New Roman" w:cs="Calibri" w:ascii="Times New Roman" w:hAnsi="Times New Roman"/>
                <w:b/>
                <w:sz w:val="18"/>
                <w:szCs w:val="18"/>
                <w:lang w:eastAsia="ru-RU"/>
              </w:rPr>
              <w:t>(</w:t>
            </w:r>
            <w:r>
              <w:rPr>
                <w:rFonts w:eastAsia="Times New Roman" w:cs="Calibri" w:ascii="Times New Roman" w:hAnsi="Times New Roman"/>
                <w:b/>
                <w:sz w:val="18"/>
                <w:szCs w:val="18"/>
                <w:lang w:val="en-US" w:eastAsia="ru-RU"/>
              </w:rPr>
              <w:t>Foreign</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Financial</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Institution</w:t>
            </w:r>
            <w:r>
              <w:rPr>
                <w:rFonts w:eastAsia="Times New Roman" w:cs="Calibri" w:ascii="Times New Roman" w:hAnsi="Times New Roman"/>
                <w:b/>
                <w:sz w:val="18"/>
                <w:szCs w:val="18"/>
                <w:lang w:eastAsia="ru-RU"/>
              </w:rPr>
              <w:t>, FFI)</w:t>
            </w:r>
          </w:p>
        </w:tc>
        <w:tc>
          <w:tcPr>
            <w:tcW w:w="7692" w:type="dxa"/>
            <w:tcBorders/>
          </w:tcPr>
          <w:p>
            <w:pPr>
              <w:pStyle w:val="Normal"/>
              <w:widowControl w:val="fals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Любое юридическое лицо, которое не является юридическим лицом, созданным или учрежденным в соответствии с законодательством США и которое осуществляет следующие виды деятельности:</w:t>
            </w:r>
          </w:p>
          <w:p>
            <w:pPr>
              <w:pStyle w:val="Normal"/>
              <w:widowControl w:val="false"/>
              <w:numPr>
                <w:ilvl w:val="0"/>
                <w:numId w:val="25"/>
              </w:numPr>
              <w:tabs>
                <w:tab w:val="clear" w:pos="708"/>
                <w:tab w:val="left" w:pos="0" w:leader="none"/>
              </w:tabs>
              <w:spacing w:lineRule="auto" w:line="240" w:before="0" w:after="0"/>
              <w:ind w:left="176" w:hanging="176"/>
              <w:rPr>
                <w:rFonts w:ascii="Times New Roman" w:hAnsi="Times New Roman" w:eastAsia="Times New Roman"/>
                <w:sz w:val="18"/>
                <w:szCs w:val="18"/>
              </w:rPr>
            </w:pPr>
            <w:r>
              <w:rPr>
                <w:rFonts w:eastAsia="Times New Roman" w:cs="Calibri" w:ascii="Times New Roman" w:hAnsi="Times New Roman"/>
                <w:sz w:val="18"/>
                <w:szCs w:val="18"/>
                <w:lang w:eastAsia="ru-RU"/>
              </w:rPr>
              <w:t>Депозитарий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w:t>
            </w:r>
          </w:p>
          <w:p>
            <w:pPr>
              <w:pStyle w:val="Normal"/>
              <w:widowControl w:val="false"/>
              <w:numPr>
                <w:ilvl w:val="0"/>
                <w:numId w:val="2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pPr>
              <w:pStyle w:val="Normal"/>
              <w:widowControl w:val="false"/>
              <w:numPr>
                <w:ilvl w:val="0"/>
                <w:numId w:val="24"/>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периода существования организации.)</w:t>
            </w:r>
          </w:p>
          <w:p>
            <w:pPr>
              <w:pStyle w:val="Normal"/>
              <w:widowControl w:val="false"/>
              <w:numPr>
                <w:ilvl w:val="0"/>
                <w:numId w:val="25"/>
              </w:numPr>
              <w:tabs>
                <w:tab w:val="clear" w:pos="708"/>
                <w:tab w:val="left" w:pos="0" w:leader="none"/>
              </w:tabs>
              <w:spacing w:lineRule="auto" w:line="240" w:before="0" w:after="0"/>
              <w:ind w:left="176" w:hanging="176"/>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принимает (привлекает во вклады, депозиты) денежные средства физических и юридических лиц в рамках обычной банковской или иной аналогичной деятельности;</w:t>
            </w:r>
          </w:p>
          <w:p>
            <w:pPr>
              <w:pStyle w:val="Normal"/>
              <w:widowControl w:val="false"/>
              <w:numPr>
                <w:ilvl w:val="0"/>
                <w:numId w:val="25"/>
              </w:numPr>
              <w:tabs>
                <w:tab w:val="clear" w:pos="708"/>
                <w:tab w:val="left" w:pos="0" w:leader="none"/>
              </w:tabs>
              <w:spacing w:lineRule="auto" w:line="240" w:before="0" w:after="0"/>
              <w:ind w:left="176" w:hanging="176"/>
              <w:rPr>
                <w:rFonts w:ascii="Times New Roman" w:hAnsi="Times New Roman" w:eastAsia="Times New Roman"/>
                <w:sz w:val="18"/>
                <w:szCs w:val="18"/>
              </w:rPr>
            </w:pPr>
            <w:r>
              <w:rPr>
                <w:rFonts w:eastAsia="Times New Roman" w:cs="Calibri" w:ascii="Times New Roman" w:hAnsi="Times New Roman"/>
                <w:sz w:val="18"/>
                <w:szCs w:val="18"/>
                <w:lang w:eastAsia="ru-RU"/>
              </w:rPr>
              <w:t>Инвестиционная организация включает одну из следующих организаций:</w:t>
            </w:r>
          </w:p>
          <w:p>
            <w:pPr>
              <w:pStyle w:val="Normal"/>
              <w:widowControl w:val="false"/>
              <w:numPr>
                <w:ilvl w:val="0"/>
                <w:numId w:val="26"/>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В качестве основного вида деятельности осуществляет один или более видов деятельности от имени и по поручению клиентов, таких как:</w:t>
            </w:r>
          </w:p>
          <w:p>
            <w:pPr>
              <w:pStyle w:val="Normal"/>
              <w:widowControl w:val="false"/>
              <w:numPr>
                <w:ilvl w:val="0"/>
                <w:numId w:val="27"/>
              </w:numPr>
              <w:tabs>
                <w:tab w:val="clear" w:pos="708"/>
                <w:tab w:val="left" w:pos="0" w:leader="none"/>
              </w:tabs>
              <w:spacing w:lineRule="auto" w:line="240" w:before="0" w:after="0"/>
              <w:ind w:left="720" w:hanging="119"/>
              <w:rPr>
                <w:rFonts w:ascii="Times New Roman" w:hAnsi="Times New Roman" w:eastAsia="Times New Roman"/>
                <w:sz w:val="18"/>
                <w:szCs w:val="18"/>
              </w:rPr>
            </w:pPr>
            <w:r>
              <w:rPr>
                <w:rFonts w:eastAsia="Times New Roman" w:cs="Calibri" w:ascii="Times New Roman" w:hAnsi="Times New Roman"/>
                <w:sz w:val="18"/>
                <w:szCs w:val="18"/>
                <w:lang w:eastAsia="ru-RU"/>
              </w:rPr>
              <w:t>торговля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pPr>
              <w:pStyle w:val="Normal"/>
              <w:widowControl w:val="false"/>
              <w:numPr>
                <w:ilvl w:val="0"/>
                <w:numId w:val="27"/>
              </w:numPr>
              <w:tabs>
                <w:tab w:val="clear" w:pos="708"/>
                <w:tab w:val="left" w:pos="0" w:leader="none"/>
              </w:tabs>
              <w:spacing w:lineRule="auto" w:line="240" w:before="0" w:after="0"/>
              <w:ind w:left="720" w:hanging="119"/>
              <w:rPr>
                <w:rFonts w:ascii="Times New Roman" w:hAnsi="Times New Roman" w:eastAsia="Times New Roman"/>
                <w:sz w:val="18"/>
                <w:szCs w:val="18"/>
              </w:rPr>
            </w:pPr>
            <w:r>
              <w:rPr>
                <w:rFonts w:eastAsia="Times New Roman" w:cs="Calibri" w:ascii="Times New Roman" w:hAnsi="Times New Roman"/>
                <w:sz w:val="18"/>
                <w:szCs w:val="18"/>
                <w:lang w:eastAsia="ru-RU"/>
              </w:rPr>
              <w:t>доверительное управление имуществом третьих лиц (управляющие компании);</w:t>
            </w:r>
          </w:p>
          <w:p>
            <w:pPr>
              <w:pStyle w:val="Normal"/>
              <w:widowControl w:val="false"/>
              <w:numPr>
                <w:ilvl w:val="0"/>
                <w:numId w:val="27"/>
              </w:numPr>
              <w:tabs>
                <w:tab w:val="clear" w:pos="708"/>
                <w:tab w:val="left" w:pos="0" w:leader="none"/>
              </w:tabs>
              <w:spacing w:lineRule="auto" w:line="240" w:before="0" w:after="0"/>
              <w:ind w:left="720" w:hanging="119"/>
              <w:rPr>
                <w:rFonts w:ascii="Times New Roman" w:hAnsi="Times New Roman" w:eastAsia="Times New Roman"/>
                <w:sz w:val="18"/>
                <w:szCs w:val="18"/>
              </w:rPr>
            </w:pPr>
            <w:r>
              <w:rPr>
                <w:rFonts w:eastAsia="Times New Roman" w:cs="Calibri" w:ascii="Times New Roman" w:hAnsi="Times New Roman"/>
                <w:sz w:val="18"/>
                <w:szCs w:val="18"/>
                <w:lang w:eastAsia="ru-RU"/>
              </w:rPr>
              <w:t>иное инвестирование, администрирование или управление фондами, денежными средствами или финансовыми активами от имени других лиц;</w:t>
            </w:r>
          </w:p>
          <w:p>
            <w:pPr>
              <w:pStyle w:val="Normal"/>
              <w:widowControl w:val="fals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w:t>
            </w:r>
          </w:p>
          <w:p>
            <w:pPr>
              <w:pStyle w:val="Normal"/>
              <w:widowControl w:val="false"/>
              <w:numPr>
                <w:ilvl w:val="0"/>
                <w:numId w:val="27"/>
              </w:numPr>
              <w:tabs>
                <w:tab w:val="clear" w:pos="708"/>
                <w:tab w:val="left" w:pos="0" w:leader="none"/>
              </w:tabs>
              <w:spacing w:lineRule="auto" w:line="240" w:before="0" w:after="0"/>
              <w:ind w:left="720" w:hanging="119"/>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pPr>
              <w:pStyle w:val="Normal"/>
              <w:widowControl w:val="false"/>
              <w:numPr>
                <w:ilvl w:val="0"/>
                <w:numId w:val="27"/>
              </w:numPr>
              <w:tabs>
                <w:tab w:val="clear" w:pos="708"/>
                <w:tab w:val="left" w:pos="0" w:leader="none"/>
              </w:tabs>
              <w:spacing w:lineRule="auto" w:line="240" w:before="0" w:after="0"/>
              <w:ind w:left="720" w:hanging="119"/>
              <w:rPr>
                <w:rFonts w:ascii="Times New Roman" w:hAnsi="Times New Roman" w:eastAsia="Times New Roman"/>
                <w:sz w:val="18"/>
                <w:szCs w:val="18"/>
              </w:rPr>
            </w:pPr>
            <w:r>
              <w:rPr>
                <w:rFonts w:eastAsia="Times New Roman" w:cs="Calibri" w:ascii="Times New Roman" w:hAnsi="Times New Roman"/>
                <w:sz w:val="18"/>
                <w:szCs w:val="18"/>
                <w:lang w:eastAsia="ru-RU"/>
              </w:rPr>
              <w:t>периода существования организации.</w:t>
            </w:r>
          </w:p>
          <w:p>
            <w:pPr>
              <w:pStyle w:val="Normal"/>
              <w:widowControl w:val="false"/>
              <w:numPr>
                <w:ilvl w:val="0"/>
                <w:numId w:val="2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которая прямо или через третьих лиц осуществляет один из трех видов деятельности, указанный в пункте выше от имени управляемой организации; </w:t>
            </w:r>
          </w:p>
          <w:p>
            <w:pPr>
              <w:pStyle w:val="Normal"/>
              <w:widowControl w:val="false"/>
              <w:numPr>
                <w:ilvl w:val="0"/>
                <w:numId w:val="28"/>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pPr>
              <w:pStyle w:val="Normal"/>
              <w:widowControl w:val="false"/>
              <w:numPr>
                <w:ilvl w:val="0"/>
                <w:numId w:val="25"/>
              </w:numPr>
              <w:tabs>
                <w:tab w:val="clear" w:pos="708"/>
                <w:tab w:val="left" w:pos="0" w:leader="none"/>
              </w:tabs>
              <w:spacing w:lineRule="auto" w:line="240" w:before="0" w:after="0"/>
              <w:ind w:left="176" w:hanging="142"/>
              <w:rPr>
                <w:rFonts w:ascii="Times New Roman" w:hAnsi="Times New Roman" w:eastAsia="Times New Roman"/>
                <w:sz w:val="18"/>
                <w:szCs w:val="18"/>
              </w:rPr>
            </w:pPr>
            <w:r>
              <w:rPr>
                <w:rFonts w:eastAsia="Times New Roman" w:cs="Calibri" w:ascii="Times New Roman" w:hAnsi="Times New Roman"/>
                <w:sz w:val="18"/>
                <w:szCs w:val="18"/>
                <w:lang w:eastAsia="ru-RU"/>
              </w:rPr>
              <w:t>Страховая организация или холдинговая компания страховой компании, которая осуществляет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pPr>
              <w:pStyle w:val="Normal"/>
              <w:widowControl w:val="false"/>
              <w:numPr>
                <w:ilvl w:val="0"/>
                <w:numId w:val="25"/>
              </w:numPr>
              <w:tabs>
                <w:tab w:val="clear" w:pos="708"/>
                <w:tab w:val="left" w:pos="0" w:leader="none"/>
              </w:tabs>
              <w:spacing w:lineRule="auto" w:line="240" w:before="0" w:after="0"/>
              <w:ind w:left="176" w:hanging="142"/>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Холдинговая компания или казначейский центр, которые: </w:t>
            </w:r>
          </w:p>
          <w:p>
            <w:pPr>
              <w:pStyle w:val="Normal"/>
              <w:widowControl w:val="false"/>
              <w:numPr>
                <w:ilvl w:val="0"/>
                <w:numId w:val="2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 или </w:t>
            </w:r>
          </w:p>
          <w:p>
            <w:pPr>
              <w:pStyle w:val="Normal"/>
              <w:widowControl w:val="false"/>
              <w:numPr>
                <w:ilvl w:val="0"/>
                <w:numId w:val="29"/>
              </w:numPr>
              <w:tabs>
                <w:tab w:val="clear" w:pos="708"/>
                <w:tab w:val="left" w:pos="0" w:leader="none"/>
              </w:tabs>
              <w:spacing w:lineRule="auto" w:line="240" w:before="0" w:after="0"/>
              <w:rPr>
                <w:rFonts w:ascii="Times New Roman" w:hAnsi="Times New Roman" w:eastAsia="Times New Roman"/>
                <w:sz w:val="18"/>
                <w:szCs w:val="18"/>
              </w:rPr>
            </w:pPr>
            <w:r>
              <w:rPr>
                <w:rFonts w:eastAsia="Times New Roman" w:cs="Calibri" w:ascii="Times New Roman" w:hAnsi="Times New Roman"/>
                <w:sz w:val="18"/>
                <w:szCs w:val="18"/>
                <w:lang w:eastAsia="ru-RU"/>
              </w:rPr>
              <w:t>Учреждаются или используются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pPr>
              <w:pStyle w:val="Normal"/>
              <w:widowControl w:val="fals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Либо признается финансовым институтом в соответствии с положениями Соглашение по Модели 1 или 2. В случае если юридическое лицо зарегистрировано в юрисдикции, которая подписала Соглашение по Модели 1 или по Модели 2, то такое юридическое лицо должно руководствоваться определением «Иностранного финансового института» как установлено соответствующим Соглашением. </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При этом территориальный финансовый институт (организованный в соответствии с законодательством территорий США и не являющийся инвестиционной организацией, которая не является организацией, принимающей средства во вклады, депозитарием или определенной страховой компанией) не подпадает под категорию иностранного финансового института.</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Финансовый институт США (</w:t>
            </w:r>
            <w:r>
              <w:rPr>
                <w:rFonts w:eastAsia="Times New Roman" w:cs="Calibri" w:ascii="Times New Roman" w:hAnsi="Times New Roman"/>
                <w:b/>
                <w:sz w:val="18"/>
                <w:szCs w:val="18"/>
                <w:lang w:val="en-US" w:eastAsia="ru-RU"/>
              </w:rPr>
              <w:t>US</w:t>
            </w:r>
            <w:r>
              <w:rPr>
                <w:rFonts w:eastAsia="Times New Roman" w:cs="Calibri" w:ascii="Times New Roman" w:hAnsi="Times New Roman"/>
                <w:b/>
                <w:sz w:val="18"/>
                <w:szCs w:val="18"/>
                <w:lang w:eastAsia="ru-RU"/>
              </w:rPr>
              <w:t xml:space="preserve"> </w:t>
            </w:r>
            <w:r>
              <w:rPr>
                <w:rFonts w:eastAsia="Times New Roman" w:cs="Calibri" w:ascii="Times New Roman" w:hAnsi="Times New Roman"/>
                <w:b/>
                <w:sz w:val="18"/>
                <w:szCs w:val="18"/>
                <w:lang w:val="en-US" w:eastAsia="ru-RU"/>
              </w:rPr>
              <w:t>FI</w:t>
            </w:r>
            <w:r>
              <w:rPr>
                <w:rFonts w:eastAsia="Times New Roman" w:cs="Calibri" w:ascii="Times New Roman" w:hAnsi="Times New Roman"/>
                <w:b/>
                <w:sz w:val="18"/>
                <w:szCs w:val="18"/>
                <w:lang w:eastAsia="ru-RU"/>
              </w:rPr>
              <w:t>)</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Финансовый институт США означает:</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(1) финансовый институт, являющийся налоговым резидентом США, за исключением филиалов таких финансовых институтов, находящихся вне территории США, а также </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(2) любой филиал иностранного финансового института, если такой филиал находится на территории США.</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 xml:space="preserve">Юридическое лицо, неотделимое от собственника для целей налогообложения в США (disregarded entity) </w:t>
            </w:r>
          </w:p>
        </w:tc>
        <w:tc>
          <w:tcPr>
            <w:tcW w:w="7692" w:type="dxa"/>
            <w:tcBorders/>
          </w:tcPr>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Юридическое лицо считается неотделимым от собственника лицом для целей налогообложения в США (disregarded entity) в соответствии с п. §301.7701-2(c)(2)(i) американского налогового законодательства.</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W-8, W-9 формы</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Формы Налоговой службы США, которые используются для идентификации статуса налогоплательщика. </w:t>
            </w:r>
          </w:p>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 xml:space="preserve">Форма W-9 используется для определения статуса налогоплательщика США. </w:t>
            </w:r>
          </w:p>
          <w:p>
            <w:pPr>
              <w:pStyle w:val="Normal"/>
              <w:keepNext w:val="true"/>
              <w:tabs>
                <w:tab w:val="clear" w:pos="708"/>
                <w:tab w:val="left" w:pos="0" w:leader="none"/>
              </w:tabs>
              <w:ind w:left="284" w:hanging="0"/>
              <w:rPr>
                <w:rFonts w:ascii="Times New Roman" w:hAnsi="Times New Roman" w:eastAsia="Times New Roman"/>
                <w:sz w:val="18"/>
                <w:szCs w:val="18"/>
              </w:rPr>
            </w:pPr>
            <w:hyperlink r:id="rId2">
              <w:r>
                <w:rPr>
                  <w:rStyle w:val="InternetLink"/>
                  <w:rFonts w:eastAsia="@Meiryo UI" w:cs="Calibri" w:ascii="@Meiryo UI" w:hAnsi="@Meiryo UI"/>
                  <w:color w:val="auto"/>
                  <w:sz w:val="20"/>
                  <w:szCs w:val="20"/>
                  <w:u w:val="none"/>
                  <w:lang w:eastAsia="ru-RU"/>
                </w:rPr>
                <w:t>http://www.irs.gov/pub/irs-pdf/fw9.pdf</w:t>
              </w:r>
            </w:hyperlink>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Форма W-8 используется для определения статуса налогоплательщика другой страны. Существуют разные виды формы W-8 для идентификации разных категорий налогоплательщиков (W-8</w:t>
            </w:r>
            <w:r>
              <w:rPr>
                <w:rFonts w:eastAsia="Times New Roman" w:cs="Calibri" w:ascii="Times New Roman" w:hAnsi="Times New Roman"/>
                <w:sz w:val="18"/>
                <w:szCs w:val="18"/>
                <w:lang w:val="en-US" w:eastAsia="ru-RU"/>
              </w:rPr>
              <w:t>BEN</w:t>
            </w:r>
            <w:r>
              <w:rPr>
                <w:rFonts w:eastAsia="Times New Roman" w:cs="Calibri" w:ascii="Times New Roman" w:hAnsi="Times New Roman"/>
                <w:sz w:val="18"/>
                <w:szCs w:val="18"/>
                <w:lang w:eastAsia="ru-RU"/>
              </w:rPr>
              <w:t>-</w:t>
            </w:r>
            <w:r>
              <w:rPr>
                <w:rFonts w:eastAsia="Times New Roman" w:cs="Calibri" w:ascii="Times New Roman" w:hAnsi="Times New Roman"/>
                <w:sz w:val="18"/>
                <w:szCs w:val="18"/>
                <w:lang w:val="en-US" w:eastAsia="ru-RU"/>
              </w:rPr>
              <w:t>E</w:t>
            </w:r>
            <w:r>
              <w:rPr>
                <w:rFonts w:eastAsia="Times New Roman" w:cs="Calibri" w:ascii="Times New Roman" w:hAnsi="Times New Roman"/>
                <w:sz w:val="18"/>
                <w:szCs w:val="18"/>
                <w:lang w:eastAsia="ru-RU"/>
              </w:rPr>
              <w:t>,  W-8</w:t>
            </w:r>
            <w:r>
              <w:rPr>
                <w:rFonts w:eastAsia="Times New Roman" w:cs="Calibri" w:ascii="Times New Roman" w:hAnsi="Times New Roman"/>
                <w:sz w:val="18"/>
                <w:szCs w:val="18"/>
                <w:lang w:val="en-US" w:eastAsia="ru-RU"/>
              </w:rPr>
              <w:t>IMY</w:t>
            </w:r>
            <w:r>
              <w:rPr>
                <w:rFonts w:eastAsia="Times New Roman" w:cs="Calibri" w:ascii="Times New Roman" w:hAnsi="Times New Roman"/>
                <w:sz w:val="18"/>
                <w:szCs w:val="18"/>
                <w:lang w:eastAsia="ru-RU"/>
              </w:rPr>
              <w:t>, W-8</w:t>
            </w:r>
            <w:r>
              <w:rPr>
                <w:rFonts w:eastAsia="Times New Roman" w:cs="Calibri" w:ascii="Times New Roman" w:hAnsi="Times New Roman"/>
                <w:sz w:val="18"/>
                <w:szCs w:val="18"/>
                <w:lang w:val="en-US" w:eastAsia="ru-RU"/>
              </w:rPr>
              <w:t>EXP</w:t>
            </w:r>
            <w:r>
              <w:rPr>
                <w:rFonts w:eastAsia="Times New Roman" w:cs="Calibri" w:ascii="Times New Roman" w:hAnsi="Times New Roman"/>
                <w:sz w:val="18"/>
                <w:szCs w:val="18"/>
                <w:lang w:eastAsia="ru-RU"/>
              </w:rPr>
              <w:t xml:space="preserve"> и другие)</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W-8</w:t>
            </w:r>
            <w:r>
              <w:rPr>
                <w:rFonts w:eastAsia="Times New Roman" w:cs="Calibri" w:ascii="Times New Roman" w:hAnsi="Times New Roman"/>
                <w:b/>
                <w:sz w:val="18"/>
                <w:szCs w:val="18"/>
                <w:lang w:val="en-US" w:eastAsia="ru-RU"/>
              </w:rPr>
              <w:t>BEN</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Подтверждает статус физического лица как бенефициарного собственника получаемых доходов.</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hyperlink r:id="rId3">
              <w:r>
                <w:rPr>
                  <w:rStyle w:val="InternetLink"/>
                  <w:rFonts w:eastAsia="@Meiryo UI" w:cs="Calibri" w:ascii="@Meiryo UI" w:hAnsi="@Meiryo UI"/>
                  <w:color w:val="auto"/>
                  <w:sz w:val="20"/>
                  <w:szCs w:val="20"/>
                  <w:u w:val="none"/>
                  <w:lang w:eastAsia="ru-RU"/>
                </w:rPr>
                <w:t>http://www.irs.gov/pub/irs-pdf/fw8ben.pdf</w:t>
              </w:r>
            </w:hyperlink>
            <w:r>
              <w:rPr>
                <w:rFonts w:eastAsia="@Meiryo UI" w:cs="Calibri" w:ascii="@Meiryo UI" w:hAnsi="@Meiryo UI"/>
                <w:sz w:val="20"/>
                <w:szCs w:val="20"/>
                <w:lang w:eastAsia="ru-RU"/>
              </w:rPr>
              <w:t xml:space="preserve"> </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rPr>
            </w:pPr>
            <w:r>
              <w:rPr>
                <w:rFonts w:eastAsia="Times New Roman" w:cs="Calibri" w:ascii="Times New Roman" w:hAnsi="Times New Roman"/>
                <w:b/>
                <w:sz w:val="18"/>
                <w:szCs w:val="18"/>
                <w:lang w:eastAsia="ru-RU"/>
              </w:rPr>
              <w:t>W-8</w:t>
            </w:r>
            <w:r>
              <w:rPr>
                <w:rFonts w:eastAsia="Times New Roman" w:cs="Calibri" w:ascii="Times New Roman" w:hAnsi="Times New Roman"/>
                <w:b/>
                <w:sz w:val="18"/>
                <w:szCs w:val="18"/>
                <w:lang w:val="en-US" w:eastAsia="ru-RU"/>
              </w:rPr>
              <w:t>BEN</w:t>
            </w:r>
            <w:r>
              <w:rPr>
                <w:rFonts w:eastAsia="Times New Roman" w:cs="Calibri" w:ascii="Times New Roman" w:hAnsi="Times New Roman"/>
                <w:b/>
                <w:sz w:val="18"/>
                <w:szCs w:val="18"/>
                <w:lang w:eastAsia="ru-RU"/>
              </w:rPr>
              <w:t>-</w:t>
            </w:r>
            <w:r>
              <w:rPr>
                <w:rFonts w:eastAsia="Times New Roman" w:cs="Calibri" w:ascii="Times New Roman" w:hAnsi="Times New Roman"/>
                <w:b/>
                <w:sz w:val="18"/>
                <w:szCs w:val="18"/>
                <w:lang w:val="en-US" w:eastAsia="ru-RU"/>
              </w:rPr>
              <w:t>E</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Подтверждает статус юридического лица как бенефициарного собственника получаемых доходов.</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hyperlink r:id="rId4">
              <w:r>
                <w:rPr>
                  <w:rStyle w:val="InternetLink"/>
                  <w:rFonts w:eastAsia="@Meiryo UI" w:cs="Calibri" w:ascii="@Meiryo UI" w:hAnsi="@Meiryo UI"/>
                  <w:color w:val="auto"/>
                  <w:sz w:val="20"/>
                  <w:szCs w:val="20"/>
                  <w:u w:val="none"/>
                  <w:lang w:eastAsia="ru-RU"/>
                </w:rPr>
                <w:t>http://www.irs.gov/pub/irs-pdf/fw8bene.pdf</w:t>
              </w:r>
            </w:hyperlink>
            <w:r>
              <w:rPr>
                <w:rFonts w:eastAsia="@Meiryo UI" w:cs="Calibri" w:ascii="@Meiryo UI" w:hAnsi="@Meiryo UI"/>
                <w:sz w:val="20"/>
                <w:szCs w:val="20"/>
                <w:lang w:eastAsia="ru-RU"/>
              </w:rPr>
              <w:t xml:space="preserve"> </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val="en-US" w:eastAsia="ru-RU"/>
              </w:rPr>
              <w:t>W-8EXP</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Подтверждает статус лица, освобождаемого от исполнения обязательств, связанных с уплатой налога в США.</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hyperlink r:id="rId5">
              <w:r>
                <w:rPr>
                  <w:rStyle w:val="InternetLink"/>
                  <w:rFonts w:eastAsia="@Meiryo UI" w:cs="Calibri" w:ascii="@Meiryo UI" w:hAnsi="@Meiryo UI"/>
                  <w:color w:val="auto"/>
                  <w:sz w:val="20"/>
                  <w:szCs w:val="20"/>
                  <w:u w:val="none"/>
                  <w:lang w:eastAsia="ru-RU"/>
                </w:rPr>
                <w:t>http://www.irs.gov/pub/irs-pdf/fw8exp.pdf</w:t>
              </w:r>
            </w:hyperlink>
            <w:r>
              <w:rPr>
                <w:rFonts w:eastAsia="@Meiryo UI" w:cs="Calibri" w:ascii="@Meiryo UI" w:hAnsi="@Meiryo UI"/>
                <w:sz w:val="20"/>
                <w:szCs w:val="20"/>
                <w:lang w:eastAsia="ru-RU"/>
              </w:rPr>
              <w:t xml:space="preserve"> </w:t>
            </w:r>
          </w:p>
        </w:tc>
      </w:tr>
      <w:tr>
        <w:trPr/>
        <w:tc>
          <w:tcPr>
            <w:tcW w:w="2228" w:type="dxa"/>
            <w:tcBorders/>
          </w:tcPr>
          <w:p>
            <w:pPr>
              <w:pStyle w:val="Normal"/>
              <w:keepNext w:val="true"/>
              <w:tabs>
                <w:tab w:val="clear" w:pos="708"/>
                <w:tab w:val="left" w:pos="0" w:leader="none"/>
              </w:tabs>
              <w:spacing w:before="0" w:after="200"/>
              <w:ind w:left="34" w:hanging="0"/>
              <w:rPr>
                <w:rFonts w:ascii="Times New Roman" w:hAnsi="Times New Roman" w:eastAsia="Times New Roman"/>
                <w:b/>
                <w:b/>
                <w:sz w:val="18"/>
                <w:szCs w:val="18"/>
                <w:lang w:val="en-US"/>
              </w:rPr>
            </w:pPr>
            <w:r>
              <w:rPr>
                <w:rFonts w:eastAsia="Times New Roman" w:cs="Calibri" w:ascii="Times New Roman" w:hAnsi="Times New Roman"/>
                <w:b/>
                <w:sz w:val="18"/>
                <w:szCs w:val="18"/>
                <w:lang w:val="en-US" w:eastAsia="ru-RU"/>
              </w:rPr>
              <w:t>W-8IMY</w:t>
            </w:r>
          </w:p>
        </w:tc>
        <w:tc>
          <w:tcPr>
            <w:tcW w:w="7692" w:type="dxa"/>
            <w:tcBorders/>
          </w:tcPr>
          <w:p>
            <w:pPr>
              <w:pStyle w:val="Normal"/>
              <w:keepNext w:val="true"/>
              <w:tabs>
                <w:tab w:val="clear" w:pos="708"/>
                <w:tab w:val="left" w:pos="0" w:leader="none"/>
              </w:tabs>
              <w:ind w:left="284" w:hanging="0"/>
              <w:rPr>
                <w:rFonts w:ascii="Times New Roman" w:hAnsi="Times New Roman" w:eastAsia="Times New Roman"/>
                <w:sz w:val="18"/>
                <w:szCs w:val="18"/>
              </w:rPr>
            </w:pPr>
            <w:r>
              <w:rPr>
                <w:rFonts w:eastAsia="Times New Roman" w:cs="Calibri" w:ascii="Times New Roman" w:hAnsi="Times New Roman"/>
                <w:sz w:val="18"/>
                <w:szCs w:val="18"/>
                <w:lang w:eastAsia="ru-RU"/>
              </w:rPr>
              <w:t>Подтверждает статус посредника, иностранного товарищества, простого иностранного трастового фонда, иностранного траста доверителя.</w:t>
            </w:r>
          </w:p>
          <w:p>
            <w:pPr>
              <w:pStyle w:val="Normal"/>
              <w:keepNext w:val="true"/>
              <w:tabs>
                <w:tab w:val="clear" w:pos="708"/>
                <w:tab w:val="left" w:pos="0" w:leader="none"/>
              </w:tabs>
              <w:spacing w:before="0" w:after="200"/>
              <w:ind w:left="284" w:hanging="0"/>
              <w:rPr>
                <w:rFonts w:ascii="Times New Roman" w:hAnsi="Times New Roman" w:eastAsia="Times New Roman"/>
                <w:sz w:val="18"/>
                <w:szCs w:val="18"/>
              </w:rPr>
            </w:pPr>
            <w:hyperlink r:id="rId6">
              <w:r>
                <w:rPr>
                  <w:rStyle w:val="InternetLink"/>
                  <w:rFonts w:eastAsia="@Meiryo UI" w:cs="Calibri" w:ascii="@Meiryo UI" w:hAnsi="@Meiryo UI"/>
                  <w:color w:val="auto"/>
                  <w:sz w:val="20"/>
                  <w:szCs w:val="20"/>
                  <w:u w:val="none"/>
                  <w:lang w:eastAsia="ru-RU"/>
                </w:rPr>
                <w:t>http://www.irs.gov/pub/irs-pdf/fw8imy.pdf</w:t>
              </w:r>
            </w:hyperlink>
            <w:r>
              <w:rPr>
                <w:rFonts w:eastAsia="@Meiryo UI" w:cs="Calibri" w:ascii="@Meiryo UI" w:hAnsi="@Meiryo UI"/>
                <w:sz w:val="20"/>
                <w:szCs w:val="20"/>
                <w:lang w:eastAsia="ru-RU"/>
              </w:rPr>
              <w:t xml:space="preserve"> </w:t>
            </w:r>
          </w:p>
        </w:tc>
      </w:tr>
    </w:tbl>
    <w:p>
      <w:pPr>
        <w:pStyle w:val="Normal"/>
        <w:keepNext w:val="true"/>
        <w:tabs>
          <w:tab w:val="clear" w:pos="708"/>
          <w:tab w:val="left" w:pos="0" w:leader="none"/>
        </w:tabs>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spacing w:before="0" w:after="200"/>
        <w:rPr>
          <w:rFonts w:ascii="Times New Roman" w:hAnsi="Times New Roman"/>
          <w:sz w:val="18"/>
          <w:szCs w:val="18"/>
        </w:rPr>
      </w:pPr>
      <w:r>
        <w:rPr/>
      </w:r>
    </w:p>
    <w:sectPr>
      <w:headerReference w:type="default" r:id="rId7"/>
      <w:footerReference w:type="default" r:id="rId8"/>
      <w:footnotePr>
        <w:numFmt w:val="decimal"/>
      </w:footnotePr>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Meiryo UI">
    <w:charset w:val="01"/>
    <w:family w:val="roman"/>
    <w:pitch w:val="variable"/>
  </w:font>
  <w:font w:name="Liberation Sans">
    <w:altName w:val="Arial"/>
    <w:charset w:val="01"/>
    <w:family w:val="swiss"/>
    <w:pitch w:val="variable"/>
  </w:font>
  <w:font w:name="SimSu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134" w:hanging="0"/>
      <w:rPr/>
    </w:pPr>
    <w:r>
      <w:rPr/>
      <w:drawing>
        <wp:inline distT="0" distB="0" distL="0" distR="0">
          <wp:extent cx="7665720" cy="889635"/>
          <wp:effectExtent l="0" t="0" r="0" b="0"/>
          <wp:docPr id="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8" descr=""/>
                  <pic:cNvPicPr>
                    <a:picLocks noChangeAspect="1" noChangeArrowheads="1"/>
                  </pic:cNvPicPr>
                </pic:nvPicPr>
                <pic:blipFill>
                  <a:blip r:embed="rId1"/>
                  <a:stretch>
                    <a:fillRect/>
                  </a:stretch>
                </pic:blipFill>
                <pic:spPr bwMode="auto">
                  <a:xfrm>
                    <a:off x="0" y="0"/>
                    <a:ext cx="7665720" cy="88963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sz w:val="16"/>
          <w:szCs w:val="16"/>
        </w:rPr>
      </w:pPr>
      <w:r>
        <w:rPr>
          <w:rStyle w:val="FootnoteCharacters"/>
        </w:rPr>
        <w:footnoteRef/>
      </w:r>
      <w:r>
        <w:rPr>
          <w:sz w:val="16"/>
          <w:szCs w:val="16"/>
        </w:rPr>
        <w:t xml:space="preserve"> </w:t>
      </w:r>
      <w:r>
        <w:rPr>
          <w:sz w:val="16"/>
          <w:szCs w:val="16"/>
        </w:rPr>
        <w:t>В случае если интерпретация терминов, содержащихся в данном Вопроснике, вызывает у Вас вопросы, мы рекомендуем обратиться к Вашему налоговому консультанту за разъяснениями.</w:t>
      </w:r>
    </w:p>
  </w:footnote>
  <w:footnote w:id="3">
    <w:p>
      <w:pPr>
        <w:pStyle w:val="Footnote"/>
        <w:rPr>
          <w:sz w:val="16"/>
          <w:szCs w:val="16"/>
        </w:rPr>
      </w:pPr>
      <w:r>
        <w:rPr>
          <w:rStyle w:val="FootnoteCharacters"/>
        </w:rPr>
        <w:footnoteRef/>
      </w:r>
      <w:r>
        <w:rPr>
          <w:sz w:val="16"/>
          <w:szCs w:val="16"/>
        </w:rPr>
        <w:t xml:space="preserve"> </w:t>
      </w:r>
      <w:r>
        <w:rPr>
          <w:sz w:val="16"/>
          <w:szCs w:val="16"/>
        </w:rPr>
        <w:t>При ответе на вопросы внимательно изучите определения терминов, содержащихся в Глоссарии (Приложение №1 к данному Вопроснику)</w:t>
      </w:r>
    </w:p>
  </w:footnote>
  <w:footnote w:id="4">
    <w:p>
      <w:pPr>
        <w:pStyle w:val="Footnote"/>
        <w:rPr/>
      </w:pPr>
      <w:r>
        <w:rPr>
          <w:rStyle w:val="FootnoteCharacters"/>
        </w:rPr>
        <w:footnoteRef/>
      </w:r>
      <w:r>
        <w:rPr>
          <w:sz w:val="16"/>
          <w:szCs w:val="16"/>
        </w:rPr>
        <w:t xml:space="preserve"> </w:t>
      </w:r>
      <w:r>
        <w:rPr>
          <w:sz w:val="16"/>
          <w:szCs w:val="16"/>
        </w:rPr>
        <w:t>FATCA (Foreign Account Tax Compliance Act) – Закон США «О налогообложении иностранных счетов».</w:t>
      </w:r>
    </w:p>
  </w:footnote>
  <w:footnote w:id="5">
    <w:p>
      <w:pPr>
        <w:pStyle w:val="Footnote"/>
        <w:rPr>
          <w:sz w:val="14"/>
          <w:szCs w:val="14"/>
        </w:rPr>
      </w:pPr>
      <w:r>
        <w:rPr>
          <w:rStyle w:val="FootnoteCharacters"/>
        </w:rPr>
        <w:footnoteRef/>
      </w:r>
      <w:r>
        <w:rPr>
          <w:sz w:val="14"/>
          <w:szCs w:val="14"/>
        </w:rPr>
        <w:t xml:space="preserve"> </w:t>
      </w:r>
      <w:r>
        <w:rPr>
          <w:sz w:val="14"/>
          <w:szCs w:val="14"/>
        </w:rPr>
        <w:t xml:space="preserve">В случае если интерпретация терминов, содержащихся в данном Глоссарии, вызывает у Вас вопросы, мы рекомендуем обратиться к налоговому консультанту за разъяснениями. Комментарии в отношении налогообложения США, которые содержатся в данном документе, не предназначены для использования и не могут быть использованы пользователем в целях избежания штрафных санкций в соответствии с положениями Закона о внутреннем налогообложении США или требованиями государственных или местных налоговых органов. Не является </w:t>
      </w:r>
      <w:r>
        <w:rPr>
          <w:rStyle w:val="Strong"/>
          <w:sz w:val="14"/>
          <w:szCs w:val="14"/>
        </w:rPr>
        <w:t>консультацией по вопросам применения Закона FATCA</w:t>
      </w:r>
      <w:r>
        <w:rPr>
          <w:sz w:val="14"/>
          <w:szCs w:val="14"/>
        </w:rPr>
        <w:t>.</w:t>
      </w:r>
    </w:p>
  </w:footnote>
  <w:footnote w:id="6">
    <w:p>
      <w:pPr>
        <w:pStyle w:val="Footnote"/>
        <w:rPr/>
      </w:pPr>
      <w:r>
        <w:rPr>
          <w:rStyle w:val="FootnoteCharacters"/>
        </w:rPr>
        <w:footnoteRef/>
      </w:r>
      <w:r>
        <w:rPr>
          <w:sz w:val="14"/>
          <w:szCs w:val="14"/>
        </w:rPr>
        <w:t xml:space="preserve"> </w:t>
      </w:r>
      <w:r>
        <w:rPr>
          <w:sz w:val="14"/>
          <w:szCs w:val="14"/>
        </w:rPr>
        <w:t>FATCA (Foreign Account Tax Compliance Act) – Закон США «О налогообложении иностранных счетов».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lang w:eastAsia="ru-RU"/>
      </w:rPr>
    </w:pPr>
    <w:r>
      <w:rPr>
        <w:lang w:eastAsia="ru-RU"/>
      </w:rPr>
      <w:drawing>
        <wp:anchor behindDoc="0" distT="0" distB="0" distL="114300" distR="114300" simplePos="0" locked="0" layoutInCell="1" allowOverlap="1" relativeHeight="0">
          <wp:simplePos x="0" y="0"/>
          <wp:positionH relativeFrom="page">
            <wp:align>left</wp:align>
          </wp:positionH>
          <wp:positionV relativeFrom="paragraph">
            <wp:posOffset>66675</wp:posOffset>
          </wp:positionV>
          <wp:extent cx="7232015" cy="1181100"/>
          <wp:effectExtent l="0" t="0" r="0" b="0"/>
          <wp:wrapTight wrapText="bothSides">
            <wp:wrapPolygon edited="0">
              <wp:start x="-18" y="0"/>
              <wp:lineTo x="-18" y="21156"/>
              <wp:lineTo x="21562" y="21156"/>
              <wp:lineTo x="21562" y="0"/>
              <wp:lineTo x="-18" y="0"/>
            </wp:wrapPolygon>
          </wp:wrapTight>
          <wp:docPr id="1"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Ресурс 4@2x-100"/>
                  <pic:cNvPicPr>
                    <a:picLocks noChangeAspect="1" noChangeArrowheads="1"/>
                  </pic:cNvPicPr>
                </pic:nvPicPr>
                <pic:blipFill>
                  <a:blip r:embed="rId1"/>
                  <a:stretch>
                    <a:fillRect/>
                  </a:stretch>
                </pic:blipFill>
                <pic:spPr bwMode="auto">
                  <a:xfrm>
                    <a:off x="0" y="0"/>
                    <a:ext cx="7232015" cy="1181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04" w:hanging="720"/>
      </w:pPr>
      <w:rPr>
        <w:sz w:val="20"/>
        <w:b w:val="false"/>
        <w:szCs w:val="24"/>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450" w:hanging="360"/>
      </w:pPr>
      <w:rPr>
        <w:rFonts w:ascii="SimSun" w:hAnsi="SimSun" w:cs="SimSun" w:hint="default"/>
      </w:rPr>
    </w:lvl>
    <w:lvl w:ilvl="1">
      <w:start w:val="1"/>
      <w:numFmt w:val="bullet"/>
      <w:lvlText w:val="o"/>
      <w:lvlJc w:val="left"/>
      <w:pPr>
        <w:tabs>
          <w:tab w:val="num" w:pos="0"/>
        </w:tabs>
        <w:ind w:left="1820" w:hanging="360"/>
      </w:pPr>
      <w:rPr>
        <w:rFonts w:ascii="Courier New" w:hAnsi="Courier New" w:cs="Courier New" w:hint="default"/>
      </w:rPr>
    </w:lvl>
    <w:lvl w:ilvl="2">
      <w:start w:val="1"/>
      <w:numFmt w:val="bullet"/>
      <w:lvlText w:val=""/>
      <w:lvlJc w:val="left"/>
      <w:pPr>
        <w:tabs>
          <w:tab w:val="num" w:pos="0"/>
        </w:tabs>
        <w:ind w:left="2540" w:hanging="360"/>
      </w:pPr>
      <w:rPr>
        <w:rFonts w:ascii="Wingdings" w:hAnsi="Wingdings" w:cs="Wingdings" w:hint="default"/>
      </w:rPr>
    </w:lvl>
    <w:lvl w:ilvl="3">
      <w:start w:val="1"/>
      <w:numFmt w:val="bullet"/>
      <w:lvlText w:val=""/>
      <w:lvlJc w:val="left"/>
      <w:pPr>
        <w:tabs>
          <w:tab w:val="num" w:pos="0"/>
        </w:tabs>
        <w:ind w:left="3260" w:hanging="360"/>
      </w:pPr>
      <w:rPr>
        <w:rFonts w:ascii="Symbol" w:hAnsi="Symbol" w:cs="Symbol" w:hint="default"/>
      </w:rPr>
    </w:lvl>
    <w:lvl w:ilvl="4">
      <w:start w:val="1"/>
      <w:numFmt w:val="bullet"/>
      <w:lvlText w:val="o"/>
      <w:lvlJc w:val="left"/>
      <w:pPr>
        <w:tabs>
          <w:tab w:val="num" w:pos="0"/>
        </w:tabs>
        <w:ind w:left="3980" w:hanging="360"/>
      </w:pPr>
      <w:rPr>
        <w:rFonts w:ascii="Courier New" w:hAnsi="Courier New" w:cs="Courier New" w:hint="default"/>
      </w:rPr>
    </w:lvl>
    <w:lvl w:ilvl="5">
      <w:start w:val="1"/>
      <w:numFmt w:val="bullet"/>
      <w:lvlText w:val=""/>
      <w:lvlJc w:val="left"/>
      <w:pPr>
        <w:tabs>
          <w:tab w:val="num" w:pos="0"/>
        </w:tabs>
        <w:ind w:left="4700" w:hanging="360"/>
      </w:pPr>
      <w:rPr>
        <w:rFonts w:ascii="Wingdings" w:hAnsi="Wingdings" w:cs="Wingdings" w:hint="default"/>
      </w:rPr>
    </w:lvl>
    <w:lvl w:ilvl="6">
      <w:start w:val="1"/>
      <w:numFmt w:val="bullet"/>
      <w:lvlText w:val=""/>
      <w:lvlJc w:val="left"/>
      <w:pPr>
        <w:tabs>
          <w:tab w:val="num" w:pos="0"/>
        </w:tabs>
        <w:ind w:left="5420" w:hanging="360"/>
      </w:pPr>
      <w:rPr>
        <w:rFonts w:ascii="Symbol" w:hAnsi="Symbol" w:cs="Symbol" w:hint="default"/>
      </w:rPr>
    </w:lvl>
    <w:lvl w:ilvl="7">
      <w:start w:val="1"/>
      <w:numFmt w:val="bullet"/>
      <w:lvlText w:val="o"/>
      <w:lvlJc w:val="left"/>
      <w:pPr>
        <w:tabs>
          <w:tab w:val="num" w:pos="0"/>
        </w:tabs>
        <w:ind w:left="6140" w:hanging="360"/>
      </w:pPr>
      <w:rPr>
        <w:rFonts w:ascii="Courier New" w:hAnsi="Courier New" w:cs="Courier New" w:hint="default"/>
      </w:rPr>
    </w:lvl>
    <w:lvl w:ilvl="8">
      <w:start w:val="1"/>
      <w:numFmt w:val="bullet"/>
      <w:lvlText w:val=""/>
      <w:lvlJc w:val="left"/>
      <w:pPr>
        <w:tabs>
          <w:tab w:val="num" w:pos="0"/>
        </w:tabs>
        <w:ind w:left="6860" w:hanging="360"/>
      </w:pPr>
      <w:rPr>
        <w:rFonts w:ascii="Wingdings" w:hAnsi="Wingdings" w:cs="Wingdings" w:hint="default"/>
      </w:rPr>
    </w:lvl>
  </w:abstractNum>
  <w:abstractNum w:abstractNumId="3">
    <w:lvl w:ilvl="0">
      <w:start w:val="1"/>
      <w:numFmt w:val="bullet"/>
      <w:lvlText w:val="□"/>
      <w:lvlJc w:val="left"/>
      <w:pPr>
        <w:tabs>
          <w:tab w:val="num" w:pos="0"/>
        </w:tabs>
        <w:ind w:left="1141" w:hanging="360"/>
      </w:pPr>
      <w:rPr>
        <w:rFonts w:ascii="SimSun" w:hAnsi="SimSun" w:cs="SimSun" w:hint="default"/>
      </w:rPr>
    </w:lvl>
    <w:lvl w:ilvl="1">
      <w:start w:val="1"/>
      <w:numFmt w:val="bullet"/>
      <w:lvlText w:val="o"/>
      <w:lvlJc w:val="left"/>
      <w:pPr>
        <w:tabs>
          <w:tab w:val="num" w:pos="0"/>
        </w:tabs>
        <w:ind w:left="1861" w:hanging="360"/>
      </w:pPr>
      <w:rPr>
        <w:rFonts w:ascii="Courier New" w:hAnsi="Courier New" w:cs="Courier New" w:hint="default"/>
      </w:rPr>
    </w:lvl>
    <w:lvl w:ilvl="2">
      <w:start w:val="1"/>
      <w:numFmt w:val="bullet"/>
      <w:lvlText w:val=""/>
      <w:lvlJc w:val="left"/>
      <w:pPr>
        <w:tabs>
          <w:tab w:val="num" w:pos="0"/>
        </w:tabs>
        <w:ind w:left="2581" w:hanging="360"/>
      </w:pPr>
      <w:rPr>
        <w:rFonts w:ascii="Wingdings" w:hAnsi="Wingdings" w:cs="Wingdings" w:hint="default"/>
      </w:rPr>
    </w:lvl>
    <w:lvl w:ilvl="3">
      <w:start w:val="1"/>
      <w:numFmt w:val="bullet"/>
      <w:lvlText w:val=""/>
      <w:lvlJc w:val="left"/>
      <w:pPr>
        <w:tabs>
          <w:tab w:val="num" w:pos="0"/>
        </w:tabs>
        <w:ind w:left="3301" w:hanging="360"/>
      </w:pPr>
      <w:rPr>
        <w:rFonts w:ascii="Symbol" w:hAnsi="Symbol" w:cs="Symbol" w:hint="default"/>
      </w:rPr>
    </w:lvl>
    <w:lvl w:ilvl="4">
      <w:start w:val="1"/>
      <w:numFmt w:val="bullet"/>
      <w:lvlText w:val="o"/>
      <w:lvlJc w:val="left"/>
      <w:pPr>
        <w:tabs>
          <w:tab w:val="num" w:pos="0"/>
        </w:tabs>
        <w:ind w:left="4021" w:hanging="360"/>
      </w:pPr>
      <w:rPr>
        <w:rFonts w:ascii="Courier New" w:hAnsi="Courier New" w:cs="Courier New" w:hint="default"/>
      </w:rPr>
    </w:lvl>
    <w:lvl w:ilvl="5">
      <w:start w:val="1"/>
      <w:numFmt w:val="bullet"/>
      <w:lvlText w:val=""/>
      <w:lvlJc w:val="left"/>
      <w:pPr>
        <w:tabs>
          <w:tab w:val="num" w:pos="0"/>
        </w:tabs>
        <w:ind w:left="4741" w:hanging="360"/>
      </w:pPr>
      <w:rPr>
        <w:rFonts w:ascii="Wingdings" w:hAnsi="Wingdings" w:cs="Wingdings" w:hint="default"/>
      </w:rPr>
    </w:lvl>
    <w:lvl w:ilvl="6">
      <w:start w:val="1"/>
      <w:numFmt w:val="bullet"/>
      <w:lvlText w:val=""/>
      <w:lvlJc w:val="left"/>
      <w:pPr>
        <w:tabs>
          <w:tab w:val="num" w:pos="0"/>
        </w:tabs>
        <w:ind w:left="5461" w:hanging="360"/>
      </w:pPr>
      <w:rPr>
        <w:rFonts w:ascii="Symbol" w:hAnsi="Symbol" w:cs="Symbol" w:hint="default"/>
      </w:rPr>
    </w:lvl>
    <w:lvl w:ilvl="7">
      <w:start w:val="1"/>
      <w:numFmt w:val="bullet"/>
      <w:lvlText w:val="o"/>
      <w:lvlJc w:val="left"/>
      <w:pPr>
        <w:tabs>
          <w:tab w:val="num" w:pos="0"/>
        </w:tabs>
        <w:ind w:left="6181" w:hanging="360"/>
      </w:pPr>
      <w:rPr>
        <w:rFonts w:ascii="Courier New" w:hAnsi="Courier New" w:cs="Courier New" w:hint="default"/>
      </w:rPr>
    </w:lvl>
    <w:lvl w:ilvl="8">
      <w:start w:val="1"/>
      <w:numFmt w:val="bullet"/>
      <w:lvlText w:val=""/>
      <w:lvlJc w:val="left"/>
      <w:pPr>
        <w:tabs>
          <w:tab w:val="num" w:pos="0"/>
        </w:tabs>
        <w:ind w:left="6901"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321" w:hanging="360"/>
      </w:pPr>
      <w:rPr>
        <w:rFonts w:ascii="Symbol" w:hAnsi="Symbol" w:cs="Symbol" w:hint="default"/>
      </w:rPr>
    </w:lvl>
    <w:lvl w:ilvl="1">
      <w:start w:val="1"/>
      <w:numFmt w:val="bullet"/>
      <w:lvlText w:val="o"/>
      <w:lvlJc w:val="left"/>
      <w:pPr>
        <w:tabs>
          <w:tab w:val="num" w:pos="0"/>
        </w:tabs>
        <w:ind w:left="2041" w:hanging="360"/>
      </w:pPr>
      <w:rPr>
        <w:rFonts w:ascii="Courier New" w:hAnsi="Courier New" w:cs="Courier New" w:hint="default"/>
      </w:rPr>
    </w:lvl>
    <w:lvl w:ilvl="2">
      <w:start w:val="1"/>
      <w:numFmt w:val="bullet"/>
      <w:lvlText w:val=""/>
      <w:lvlJc w:val="left"/>
      <w:pPr>
        <w:tabs>
          <w:tab w:val="num" w:pos="0"/>
        </w:tabs>
        <w:ind w:left="2761" w:hanging="360"/>
      </w:pPr>
      <w:rPr>
        <w:rFonts w:ascii="Wingdings" w:hAnsi="Wingdings" w:cs="Wingdings" w:hint="default"/>
      </w:rPr>
    </w:lvl>
    <w:lvl w:ilvl="3">
      <w:start w:val="1"/>
      <w:numFmt w:val="bullet"/>
      <w:lvlText w:val=""/>
      <w:lvlJc w:val="left"/>
      <w:pPr>
        <w:tabs>
          <w:tab w:val="num" w:pos="0"/>
        </w:tabs>
        <w:ind w:left="3481" w:hanging="360"/>
      </w:pPr>
      <w:rPr>
        <w:rFonts w:ascii="Symbol" w:hAnsi="Symbol" w:cs="Symbol" w:hint="default"/>
      </w:rPr>
    </w:lvl>
    <w:lvl w:ilvl="4">
      <w:start w:val="1"/>
      <w:numFmt w:val="bullet"/>
      <w:lvlText w:val="o"/>
      <w:lvlJc w:val="left"/>
      <w:pPr>
        <w:tabs>
          <w:tab w:val="num" w:pos="0"/>
        </w:tabs>
        <w:ind w:left="4201" w:hanging="360"/>
      </w:pPr>
      <w:rPr>
        <w:rFonts w:ascii="Courier New" w:hAnsi="Courier New" w:cs="Courier New" w:hint="default"/>
      </w:rPr>
    </w:lvl>
    <w:lvl w:ilvl="5">
      <w:start w:val="1"/>
      <w:numFmt w:val="bullet"/>
      <w:lvlText w:val=""/>
      <w:lvlJc w:val="left"/>
      <w:pPr>
        <w:tabs>
          <w:tab w:val="num" w:pos="0"/>
        </w:tabs>
        <w:ind w:left="4921" w:hanging="360"/>
      </w:pPr>
      <w:rPr>
        <w:rFonts w:ascii="Wingdings" w:hAnsi="Wingdings" w:cs="Wingdings" w:hint="default"/>
      </w:rPr>
    </w:lvl>
    <w:lvl w:ilvl="6">
      <w:start w:val="1"/>
      <w:numFmt w:val="bullet"/>
      <w:lvlText w:val=""/>
      <w:lvlJc w:val="left"/>
      <w:pPr>
        <w:tabs>
          <w:tab w:val="num" w:pos="0"/>
        </w:tabs>
        <w:ind w:left="5641" w:hanging="360"/>
      </w:pPr>
      <w:rPr>
        <w:rFonts w:ascii="Symbol" w:hAnsi="Symbol" w:cs="Symbol" w:hint="default"/>
      </w:rPr>
    </w:lvl>
    <w:lvl w:ilvl="7">
      <w:start w:val="1"/>
      <w:numFmt w:val="bullet"/>
      <w:lvlText w:val="o"/>
      <w:lvlJc w:val="left"/>
      <w:pPr>
        <w:tabs>
          <w:tab w:val="num" w:pos="0"/>
        </w:tabs>
        <w:ind w:left="6361" w:hanging="360"/>
      </w:pPr>
      <w:rPr>
        <w:rFonts w:ascii="Courier New" w:hAnsi="Courier New" w:cs="Courier New" w:hint="default"/>
      </w:rPr>
    </w:lvl>
    <w:lvl w:ilvl="8">
      <w:start w:val="1"/>
      <w:numFmt w:val="bullet"/>
      <w:lvlText w:val=""/>
      <w:lvlJc w:val="left"/>
      <w:pPr>
        <w:tabs>
          <w:tab w:val="num" w:pos="0"/>
        </w:tabs>
        <w:ind w:left="7081" w:hanging="360"/>
      </w:pPr>
      <w:rPr>
        <w:rFonts w:ascii="Wingdings" w:hAnsi="Wingdings" w:cs="Wingdings" w:hint="default"/>
      </w:rPr>
    </w:lvl>
  </w:abstractNum>
  <w:abstractNum w:abstractNumId="6">
    <w:lvl w:ilvl="0">
      <w:start w:val="1"/>
      <w:numFmt w:val="bullet"/>
      <w:lvlText w:val=""/>
      <w:lvlJc w:val="left"/>
      <w:pPr>
        <w:tabs>
          <w:tab w:val="num" w:pos="0"/>
        </w:tabs>
        <w:ind w:left="896" w:hanging="360"/>
      </w:pPr>
      <w:rPr>
        <w:rFonts w:ascii="Symbol" w:hAnsi="Symbol" w:cs="Symbol" w:hint="default"/>
      </w:rPr>
    </w:lvl>
    <w:lvl w:ilvl="1">
      <w:start w:val="1"/>
      <w:numFmt w:val="bullet"/>
      <w:lvlText w:val="o"/>
      <w:lvlJc w:val="left"/>
      <w:pPr>
        <w:tabs>
          <w:tab w:val="num" w:pos="0"/>
        </w:tabs>
        <w:ind w:left="1616" w:hanging="360"/>
      </w:pPr>
      <w:rPr>
        <w:rFonts w:ascii="Courier New" w:hAnsi="Courier New" w:cs="Courier New" w:hint="default"/>
      </w:rPr>
    </w:lvl>
    <w:lvl w:ilvl="2">
      <w:start w:val="1"/>
      <w:numFmt w:val="bullet"/>
      <w:lvlText w:val=""/>
      <w:lvlJc w:val="left"/>
      <w:pPr>
        <w:tabs>
          <w:tab w:val="num" w:pos="0"/>
        </w:tabs>
        <w:ind w:left="2336" w:hanging="360"/>
      </w:pPr>
      <w:rPr>
        <w:rFonts w:ascii="Wingdings" w:hAnsi="Wingdings" w:cs="Wingdings" w:hint="default"/>
      </w:rPr>
    </w:lvl>
    <w:lvl w:ilvl="3">
      <w:start w:val="1"/>
      <w:numFmt w:val="bullet"/>
      <w:lvlText w:val=""/>
      <w:lvlJc w:val="left"/>
      <w:pPr>
        <w:tabs>
          <w:tab w:val="num" w:pos="0"/>
        </w:tabs>
        <w:ind w:left="3056" w:hanging="360"/>
      </w:pPr>
      <w:rPr>
        <w:rFonts w:ascii="Symbol" w:hAnsi="Symbol" w:cs="Symbol" w:hint="default"/>
      </w:rPr>
    </w:lvl>
    <w:lvl w:ilvl="4">
      <w:start w:val="1"/>
      <w:numFmt w:val="bullet"/>
      <w:lvlText w:val="o"/>
      <w:lvlJc w:val="left"/>
      <w:pPr>
        <w:tabs>
          <w:tab w:val="num" w:pos="0"/>
        </w:tabs>
        <w:ind w:left="3776" w:hanging="360"/>
      </w:pPr>
      <w:rPr>
        <w:rFonts w:ascii="Courier New" w:hAnsi="Courier New" w:cs="Courier New" w:hint="default"/>
      </w:rPr>
    </w:lvl>
    <w:lvl w:ilvl="5">
      <w:start w:val="1"/>
      <w:numFmt w:val="bullet"/>
      <w:lvlText w:val=""/>
      <w:lvlJc w:val="left"/>
      <w:pPr>
        <w:tabs>
          <w:tab w:val="num" w:pos="0"/>
        </w:tabs>
        <w:ind w:left="4496" w:hanging="360"/>
      </w:pPr>
      <w:rPr>
        <w:rFonts w:ascii="Wingdings" w:hAnsi="Wingdings" w:cs="Wingdings" w:hint="default"/>
      </w:rPr>
    </w:lvl>
    <w:lvl w:ilvl="6">
      <w:start w:val="1"/>
      <w:numFmt w:val="bullet"/>
      <w:lvlText w:val=""/>
      <w:lvlJc w:val="left"/>
      <w:pPr>
        <w:tabs>
          <w:tab w:val="num" w:pos="0"/>
        </w:tabs>
        <w:ind w:left="5216" w:hanging="360"/>
      </w:pPr>
      <w:rPr>
        <w:rFonts w:ascii="Symbol" w:hAnsi="Symbol" w:cs="Symbol" w:hint="default"/>
      </w:rPr>
    </w:lvl>
    <w:lvl w:ilvl="7">
      <w:start w:val="1"/>
      <w:numFmt w:val="bullet"/>
      <w:lvlText w:val="o"/>
      <w:lvlJc w:val="left"/>
      <w:pPr>
        <w:tabs>
          <w:tab w:val="num" w:pos="0"/>
        </w:tabs>
        <w:ind w:left="5936" w:hanging="360"/>
      </w:pPr>
      <w:rPr>
        <w:rFonts w:ascii="Courier New" w:hAnsi="Courier New" w:cs="Courier New" w:hint="default"/>
      </w:rPr>
    </w:lvl>
    <w:lvl w:ilvl="8">
      <w:start w:val="1"/>
      <w:numFmt w:val="bullet"/>
      <w:lvlText w:val=""/>
      <w:lvlJc w:val="left"/>
      <w:pPr>
        <w:tabs>
          <w:tab w:val="num" w:pos="0"/>
        </w:tabs>
        <w:ind w:left="6656"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decimal"/>
      <w:lvlText w:val="%1)"/>
      <w:lvlJc w:val="left"/>
      <w:pPr>
        <w:tabs>
          <w:tab w:val="num" w:pos="0"/>
        </w:tabs>
        <w:ind w:left="896" w:hanging="360"/>
      </w:pPr>
    </w:lvl>
    <w:lvl w:ilvl="1">
      <w:start w:val="1"/>
      <w:numFmt w:val="decimal"/>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1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widowControl/>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6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31669"/>
    <w:rPr/>
  </w:style>
  <w:style w:type="character" w:styleId="Style15" w:customStyle="1">
    <w:name w:val="Нижний колонтитул Знак"/>
    <w:basedOn w:val="DefaultParagraphFont"/>
    <w:link w:val="a5"/>
    <w:uiPriority w:val="99"/>
    <w:qFormat/>
    <w:rsid w:val="00231669"/>
    <w:rPr/>
  </w:style>
  <w:style w:type="character" w:styleId="Style16" w:customStyle="1">
    <w:name w:val="Текст выноски Знак"/>
    <w:basedOn w:val="DefaultParagraphFont"/>
    <w:link w:val="a7"/>
    <w:uiPriority w:val="99"/>
    <w:semiHidden/>
    <w:qFormat/>
    <w:rsid w:val="005b61c4"/>
    <w:rPr>
      <w:rFonts w:ascii="Tahoma" w:hAnsi="Tahoma" w:cs="Tahoma"/>
      <w:sz w:val="16"/>
      <w:szCs w:val="16"/>
    </w:rPr>
  </w:style>
  <w:style w:type="character" w:styleId="Style17" w:customStyle="1">
    <w:name w:val="письмо Знак"/>
    <w:link w:val="a9"/>
    <w:qFormat/>
    <w:rsid w:val="005b61c4"/>
    <w:rPr>
      <w:rFonts w:ascii="Arial" w:hAnsi="Arial" w:eastAsia="Times New Roman" w:cs="Arial"/>
      <w:lang w:eastAsia="ru-RU"/>
    </w:rPr>
  </w:style>
  <w:style w:type="character" w:styleId="Style18" w:customStyle="1">
    <w:name w:val="письмо_Обращение Знак"/>
    <w:link w:val="ab"/>
    <w:qFormat/>
    <w:rsid w:val="005b61c4"/>
    <w:rPr>
      <w:rFonts w:ascii="Arial" w:hAnsi="Arial" w:eastAsia="Times New Roman" w:cs="Arial"/>
      <w:lang w:eastAsia="ru-RU"/>
    </w:rPr>
  </w:style>
  <w:style w:type="character" w:styleId="Style19" w:customStyle="1">
    <w:name w:val="письмо_адрес Знак"/>
    <w:link w:val="ad"/>
    <w:qFormat/>
    <w:rsid w:val="005b61c4"/>
    <w:rPr>
      <w:rFonts w:ascii="Arial" w:hAnsi="Arial" w:eastAsia="Times New Roman" w:cs="Arial"/>
      <w:sz w:val="18"/>
      <w:szCs w:val="18"/>
      <w:lang w:eastAsia="ru-RU"/>
    </w:rPr>
  </w:style>
  <w:style w:type="character" w:styleId="Style20" w:customStyle="1">
    <w:name w:val="письмо_исполнитель Знак"/>
    <w:link w:val="af"/>
    <w:qFormat/>
    <w:rsid w:val="005b61c4"/>
    <w:rPr>
      <w:rFonts w:ascii="Arial" w:hAnsi="Arial" w:eastAsia="Times New Roman" w:cs="Arial"/>
      <w:sz w:val="18"/>
      <w:szCs w:val="18"/>
      <w:lang w:eastAsia="ru-RU"/>
    </w:rPr>
  </w:style>
  <w:style w:type="character" w:styleId="HTML" w:customStyle="1">
    <w:name w:val="Стандартный HTML Знак"/>
    <w:basedOn w:val="DefaultParagraphFont"/>
    <w:link w:val="HTML"/>
    <w:uiPriority w:val="99"/>
    <w:qFormat/>
    <w:rsid w:val="005b61c4"/>
    <w:rPr>
      <w:rFonts w:ascii="Courier New" w:hAnsi="Courier New" w:eastAsia="Times New Roman" w:cs="Courier New"/>
      <w:sz w:val="20"/>
      <w:szCs w:val="20"/>
      <w:lang w:eastAsia="ru-RU"/>
    </w:rPr>
  </w:style>
  <w:style w:type="character" w:styleId="InternetLink">
    <w:name w:val="Hyperlink"/>
    <w:basedOn w:val="DefaultParagraphFont"/>
    <w:uiPriority w:val="99"/>
    <w:qFormat/>
    <w:rsid w:val="00473a28"/>
    <w:rPr>
      <w:rFonts w:cs="Times New Roman"/>
      <w:color w:val="0000FF"/>
      <w:u w:val="single"/>
    </w:rPr>
  </w:style>
  <w:style w:type="character" w:styleId="Style21" w:customStyle="1">
    <w:name w:val="Текст сноски Знак"/>
    <w:basedOn w:val="DefaultParagraphFont"/>
    <w:link w:val="af2"/>
    <w:qFormat/>
    <w:rsid w:val="00473a28"/>
    <w:rPr>
      <w:rFonts w:ascii="Times New Roman" w:hAnsi="Times New Roman" w:eastAsia="Times New Roman" w:cs="Times New Roman"/>
      <w:sz w:val="20"/>
      <w:szCs w:val="20"/>
      <w:lang w:eastAsia="ru-RU"/>
    </w:rPr>
  </w:style>
  <w:style w:type="character" w:styleId="FootnoteCharacters">
    <w:name w:val="Footnote Characters"/>
    <w:basedOn w:val="DefaultParagraphFont"/>
    <w:uiPriority w:val="99"/>
    <w:qFormat/>
    <w:rsid w:val="00473a28"/>
    <w:rPr>
      <w:rFonts w:cs="Times New Roman"/>
      <w:vertAlign w:val="superscript"/>
    </w:rPr>
  </w:style>
  <w:style w:type="character" w:styleId="FootnoteAnchor">
    <w:name w:val="Footnote Anchor"/>
    <w:rPr>
      <w:rFonts w:cs="Times New Roman"/>
      <w:vertAlign w:val="superscript"/>
    </w:rPr>
  </w:style>
  <w:style w:type="character" w:styleId="Style22" w:customStyle="1">
    <w:name w:val="Абзац списка Знак"/>
    <w:link w:val="af5"/>
    <w:uiPriority w:val="34"/>
    <w:qFormat/>
    <w:locked/>
    <w:rsid w:val="003b1485"/>
    <w:rPr>
      <w:rFonts w:ascii="@Meiryo UI" w:hAnsi="@Meiryo UI" w:eastAsia="@Meiryo UI" w:cs="Times New Roman"/>
    </w:rPr>
  </w:style>
  <w:style w:type="character" w:styleId="Strong">
    <w:name w:val="Strong"/>
    <w:basedOn w:val="DefaultParagraphFont"/>
    <w:uiPriority w:val="22"/>
    <w:qFormat/>
    <w:rsid w:val="003b1485"/>
    <w:rPr>
      <w:b/>
      <w:bCs/>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4"/>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a6"/>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a8"/>
    <w:uiPriority w:val="99"/>
    <w:semiHidden/>
    <w:unhideWhenUsed/>
    <w:qFormat/>
    <w:rsid w:val="005b61c4"/>
    <w:pPr>
      <w:spacing w:lineRule="auto" w:line="240" w:before="0" w:after="0"/>
    </w:pPr>
    <w:rPr>
      <w:rFonts w:ascii="Tahoma" w:hAnsi="Tahoma" w:cs="Tahoma"/>
      <w:sz w:val="16"/>
      <w:szCs w:val="16"/>
    </w:rPr>
  </w:style>
  <w:style w:type="paragraph" w:styleId="Style23" w:customStyle="1">
    <w:name w:val="письмо"/>
    <w:basedOn w:val="Footer"/>
    <w:link w:val="aa"/>
    <w:qFormat/>
    <w:rsid w:val="005b61c4"/>
    <w:pPr>
      <w:tabs>
        <w:tab w:val="clear" w:pos="4677"/>
        <w:tab w:val="clear" w:pos="9355"/>
        <w:tab w:val="left" w:pos="4500" w:leader="none"/>
      </w:tabs>
      <w:spacing w:before="120" w:after="0"/>
      <w:ind w:firstLine="34"/>
      <w:jc w:val="both"/>
    </w:pPr>
    <w:rPr>
      <w:rFonts w:ascii="Arial" w:hAnsi="Arial" w:eastAsia="Times New Roman" w:cs="Arial"/>
      <w:lang w:eastAsia="ru-RU"/>
    </w:rPr>
  </w:style>
  <w:style w:type="paragraph" w:styleId="Style24" w:customStyle="1">
    <w:name w:val="письмо_Обращение"/>
    <w:basedOn w:val="Normal"/>
    <w:link w:val="ac"/>
    <w:qFormat/>
    <w:rsid w:val="005b61c4"/>
    <w:pPr>
      <w:spacing w:lineRule="auto" w:line="240" w:before="360" w:after="240"/>
    </w:pPr>
    <w:rPr>
      <w:rFonts w:ascii="Arial" w:hAnsi="Arial" w:eastAsia="Times New Roman" w:cs="Arial"/>
      <w:lang w:eastAsia="ru-RU"/>
    </w:rPr>
  </w:style>
  <w:style w:type="paragraph" w:styleId="Style25" w:customStyle="1">
    <w:name w:val="письмо_адрес"/>
    <w:basedOn w:val="Normal"/>
    <w:link w:val="ae"/>
    <w:qFormat/>
    <w:rsid w:val="005b61c4"/>
    <w:pPr>
      <w:tabs>
        <w:tab w:val="clear" w:pos="708"/>
        <w:tab w:val="left" w:pos="4500" w:leader="none"/>
      </w:tabs>
      <w:spacing w:lineRule="auto" w:line="240" w:before="0" w:after="0"/>
    </w:pPr>
    <w:rPr>
      <w:rFonts w:ascii="Arial" w:hAnsi="Arial" w:eastAsia="Times New Roman" w:cs="Arial"/>
      <w:sz w:val="18"/>
      <w:szCs w:val="18"/>
      <w:lang w:eastAsia="ru-RU"/>
    </w:rPr>
  </w:style>
  <w:style w:type="paragraph" w:styleId="Style26" w:customStyle="1">
    <w:name w:val="письмо_исполнитель"/>
    <w:basedOn w:val="Footer"/>
    <w:link w:val="af0"/>
    <w:qFormat/>
    <w:rsid w:val="005b61c4"/>
    <w:pPr>
      <w:tabs>
        <w:tab w:val="clear" w:pos="4677"/>
        <w:tab w:val="clear" w:pos="9355"/>
        <w:tab w:val="left" w:pos="4500" w:leader="none"/>
      </w:tabs>
      <w:spacing w:before="120" w:after="0"/>
    </w:pPr>
    <w:rPr>
      <w:rFonts w:ascii="Arial" w:hAnsi="Arial" w:eastAsia="Times New Roman" w:cs="Arial"/>
      <w:sz w:val="18"/>
      <w:szCs w:val="18"/>
      <w:lang w:eastAsia="ru-RU"/>
    </w:rPr>
  </w:style>
  <w:style w:type="paragraph" w:styleId="HTMLPreformatted">
    <w:name w:val="HTML Preformatted"/>
    <w:basedOn w:val="Normal"/>
    <w:link w:val="HTML0"/>
    <w:uiPriority w:val="99"/>
    <w:unhideWhenUsed/>
    <w:qFormat/>
    <w:rsid w:val="005b61c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Footnote">
    <w:name w:val="Footnote Text"/>
    <w:basedOn w:val="Normal"/>
    <w:link w:val="af3"/>
    <w:qFormat/>
    <w:rsid w:val="00473a28"/>
    <w:pPr>
      <w:spacing w:lineRule="auto" w:line="240" w:before="0" w:after="0"/>
    </w:pPr>
    <w:rPr>
      <w:rFonts w:ascii="Times New Roman" w:hAnsi="Times New Roman" w:eastAsia="Times New Roman"/>
      <w:sz w:val="20"/>
      <w:szCs w:val="20"/>
      <w:lang w:eastAsia="ru-RU"/>
    </w:rPr>
  </w:style>
  <w:style w:type="paragraph" w:styleId="ConsPlusNormal" w:customStyle="1">
    <w:name w:val="ConsPlusNormal"/>
    <w:qFormat/>
    <w:rsid w:val="00473a2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efault" w:customStyle="1">
    <w:name w:val="Default"/>
    <w:qFormat/>
    <w:rsid w:val="007066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ListParagraph">
    <w:name w:val="List Paragraph"/>
    <w:basedOn w:val="Normal"/>
    <w:link w:val="af6"/>
    <w:uiPriority w:val="34"/>
    <w:qFormat/>
    <w:rsid w:val="003b1485"/>
    <w:pPr>
      <w:spacing w:lineRule="auto" w:line="240" w:before="0" w:after="0"/>
      <w:ind w:left="720" w:firstLine="567"/>
      <w:contextualSpacing/>
      <w:jc w:val="both"/>
    </w:pPr>
    <w:rPr>
      <w:rFonts w:ascii="@Meiryo UI" w:hAnsi="@Meiryo UI" w:eastAsia="@Meiryo U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3b148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rs.gov/pub/irs-pdf/fw9.pdf" TargetMode="External"/><Relationship Id="rId3" Type="http://schemas.openxmlformats.org/officeDocument/2006/relationships/hyperlink" Target="http://www.irs.gov/pub/irs-pdf/fw8ben.pdf" TargetMode="External"/><Relationship Id="rId4" Type="http://schemas.openxmlformats.org/officeDocument/2006/relationships/hyperlink" Target="http://www.irs.gov/pub/irs-pdf/fw8bene.pdf" TargetMode="External"/><Relationship Id="rId5" Type="http://schemas.openxmlformats.org/officeDocument/2006/relationships/hyperlink" Target="http://www.irs.gov/pub/irs-pdf/fw8exp.pdf" TargetMode="External"/><Relationship Id="rId6" Type="http://schemas.openxmlformats.org/officeDocument/2006/relationships/hyperlink" Target="http://www.irs.gov/pub/irs-pdf/fw8imy.pdf"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Words>5675</Words>
  <Characters>40280</Characters>
  <CharactersWithSpaces>45821</CharactersWithSpaces>
  <Paragraphs>297</Paragraphs>
  <Company>NB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2022-09-07T12:48:00Z</dcterms:created>
  <dc:creator>Julia Pashanina</dc:creator>
  <dc:description/>
  <dc:language>en-US</dc:language>
  <cp:lastModifiedBy>Зайцева Татьяна Викторовна (Траст)</cp:lastModifiedBy>
  <cp:lastPrinted>2022-06-09T11:06:00Z</cp:lastPrinted>
  <dcterms:modified xsi:type="dcterms:W3CDTF">2022-09-07T12:48:00Z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 TRUST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